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3"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2" w:name="instructor-materials"/>
    <w:p>
      <w:pPr>
        <w:pStyle w:val="Heading3"/>
      </w:pPr>
      <w:r>
        <w:t xml:space="preserve">Instructor Materials</w:t>
      </w:r>
    </w:p>
    <w:p>
      <w:pPr>
        <w:pStyle w:val="FirstParagraph"/>
      </w:pPr>
      <w:r>
        <w:t xml:space="preserve">An answer key is available</w:t>
      </w:r>
      <w:r>
        <w:t xml:space="preserve"> </w:t>
      </w:r>
      <w:hyperlink r:id="rId35">
        <w:r>
          <w:rPr>
            <w:rStyle w:val="Hyperlink"/>
          </w:rPr>
          <w:t xml:space="preserve">here</w:t>
        </w:r>
      </w:hyperlink>
      <w:r>
        <w:t xml:space="preserve">. Please message Ava Hoffman (ahoffma2 at fredhutch dot org) to get access.</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35" Targe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35" Targe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2026-02-17T19:51:33Z</dcterms:created>
  <dcterms:modified xsi:type="dcterms:W3CDTF">2026-02-17T19:51:33Z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