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7.png" ContentType="image/png"/>
  <Override PartName="/word/media/rId59.png" ContentType="image/png"/>
  <Override PartName="/word/media/rId60.png" ContentType="image/png"/>
  <Override PartName="/word/media/rId67.png" ContentType="image/png"/>
  <Override PartName="/word/media/rId29.png" ContentType="image/png"/>
  <Override PartName="/word/media/rId36.png" ContentType="image/png"/>
  <Override PartName="/word/media/rId28.png" ContentType="image/png"/>
  <Override PartName="/word/media/rId24.png" ContentType="image/png"/>
  <Override PartName="/word/media/rId50.png" ContentType="image/png"/>
  <Override PartName="/word/media/rId71.png" ContentType="image/png"/>
  <Override PartName="/word/media/rId73.png" ContentType="image/png"/>
  <Override PartName="/word/media/rId75.png" ContentType="image/png"/>
  <Override PartName="/word/media/rId77.png" ContentType="image/png"/>
  <Override PartName="/word/media/rId80.png" ContentType="image/png"/>
  <Override PartName="/word/media/rId82.png" ContentType="image/png"/>
  <Override PartName="/word/media/rId84.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r>
        <w:t xml:space="preserve"> </w:t>
      </w:r>
      <w:r>
        <w:t xml:space="preserve">Season</w:t>
      </w:r>
      <w:r>
        <w:t xml:space="preserve"> </w:t>
      </w:r>
      <w:r>
        <w:t xml:space="preserve">3</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End w:id="23"/>
    <w:bookmarkStart w:id="40" w:name="fundamentals"/>
    <w:p>
      <w:pPr>
        <w:pStyle w:val="Heading1"/>
      </w:pPr>
      <w:r>
        <w:rPr>
          <w:rStyle w:val="SectionNumber"/>
        </w:rPr>
        <w:t xml:space="preserve">2</w:t>
      </w:r>
      <w:r>
        <w:tab/>
      </w:r>
      <w:r>
        <w:t xml:space="preserve">Fundamentals</w:t>
      </w:r>
    </w:p>
    <w:bookmarkStart w:id="25"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make use of complex data structures, use custom functions built by other R users, and creating your own functions. How to iterate repeated tasks that scales naturally.</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Outcome: Conduct a full analysis in the data science workflow (minus model).</w:t>
      </w:r>
    </w:p>
    <w:p>
      <w:pPr>
        <w:numPr>
          <w:ilvl w:val="0"/>
          <w:numId w:val="1000"/>
        </w:numPr>
      </w:pPr>
      <w:r>
        <w:drawing>
          <wp:inline>
            <wp:extent cx="4286250" cy="1447749"/>
            <wp:effectExtent b="0" l="0" r="0" t="0"/>
            <wp:docPr descr="" title="" id="1" name="Picture"/>
            <a:graphic>
              <a:graphicData uri="http://schemas.openxmlformats.org/drawingml/2006/picture">
                <pic:pic>
                  <pic:nvPicPr>
                    <pic:cNvPr descr="https://r4ds.hadley.nz/diagrams/data-science/base.png" id="0" name="Picture"/>
                    <pic:cNvPicPr>
                      <a:picLocks noChangeArrowheads="1" noChangeAspect="1"/>
                    </pic:cNvPicPr>
                  </pic:nvPicPr>
                  <pic:blipFill>
                    <a:blip r:embed="rId24"/>
                    <a:stretch>
                      <a:fillRect/>
                    </a:stretch>
                  </pic:blipFill>
                  <pic:spPr bwMode="auto">
                    <a:xfrm>
                      <a:off x="0" y="0"/>
                      <a:ext cx="4286250" cy="1447749"/>
                    </a:xfrm>
                    <a:prstGeom prst="rect">
                      <a:avLst/>
                    </a:prstGeom>
                    <a:noFill/>
                    <a:ln w="9525">
                      <a:noFill/>
                      <a:headEnd/>
                      <a:tailEnd/>
                    </a:ln>
                  </pic:spPr>
                </pic:pic>
              </a:graphicData>
            </a:graphic>
          </wp:inline>
        </w:drawing>
      </w:r>
    </w:p>
    <w:bookmarkEnd w:id="25"/>
    <w:bookmarkStart w:id="26"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bookmarkEnd w:id="26"/>
    <w:bookmarkStart w:id="27"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bCs/>
          <w:b/>
        </w:rPr>
        <w:t xml:space="preserve">Factor</w:t>
      </w:r>
    </w:p>
    <w:p>
      <w:pPr>
        <w:numPr>
          <w:ilvl w:val="0"/>
          <w:numId w:val="1003"/>
        </w:numPr>
      </w:pPr>
      <w:r>
        <w:rPr>
          <w:bCs/>
          <w:b/>
        </w:rPr>
        <w:t xml:space="preserve">List</w:t>
      </w:r>
    </w:p>
    <w:p>
      <w:pPr>
        <w:numPr>
          <w:ilvl w:val="0"/>
          <w:numId w:val="1003"/>
        </w:numPr>
      </w:pPr>
      <w:r>
        <w:t xml:space="preserve">Dataframe</w:t>
      </w:r>
    </w:p>
    <w:bookmarkEnd w:id="27"/>
    <w:bookmarkStart w:id="32"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w:t>
      </w:r>
    </w:p>
    <w:p>
      <w:pPr>
        <w:pStyle w:val="BodyText"/>
      </w:pPr>
      <w:r>
        <w:drawing>
          <wp:inline>
            <wp:extent cx="3810000" cy="3249083"/>
            <wp:effectExtent b="0" l="0" r="0" t="0"/>
            <wp:docPr descr="" title="" id="1" name="Picture"/>
            <a:graphic>
              <a:graphicData uri="http://schemas.openxmlformats.org/drawingml/2006/picture">
                <pic:pic>
                  <pic:nvPicPr>
                    <pic:cNvPr descr="https://d33wubrfki0l68.cloudfront.net/eb6730b841e32292d9ff36b33a590e24b6221f43/57192/diagrams/vectors/summary-tree-atomic.png" id="0" name="Picture"/>
                    <pic:cNvPicPr>
                      <a:picLocks noChangeArrowheads="1" noChangeAspect="1"/>
                    </pic:cNvPicPr>
                  </pic:nvPicPr>
                  <pic:blipFill>
                    <a:blip r:embed="rId28"/>
                    <a:stretch>
                      <a:fillRect/>
                    </a:stretch>
                  </pic:blipFill>
                  <pic:spPr bwMode="auto">
                    <a:xfrm>
                      <a:off x="0" y="0"/>
                      <a:ext cx="3810000" cy="3249083"/>
                    </a:xfrm>
                    <a:prstGeom prst="rect">
                      <a:avLst/>
                    </a:prstGeom>
                    <a:noFill/>
                    <a:ln w="9525">
                      <a:noFill/>
                      <a:headEnd/>
                      <a:tailEnd/>
                    </a:ln>
                  </pic:spPr>
                </pic:pic>
              </a:graphicData>
            </a:graphic>
          </wp:inline>
        </w:drawing>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Pr>
      <w:r>
        <w:t xml:space="preserve">For</w:t>
      </w:r>
      <w:r>
        <w:t xml:space="preserve"> </w:t>
      </w:r>
      <w:r>
        <w:rPr>
          <w:rStyle w:val="VerbatimChar"/>
        </w:rPr>
        <w:t xml:space="preserve">NA</w:t>
      </w:r>
      <w:r>
        <w:t xml:space="preserve">,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numPr>
          <w:ilvl w:val="0"/>
          <w:numId w:val="1004"/>
        </w:numPr>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numPr>
          <w:ilvl w:val="0"/>
          <w:numId w:val="1000"/>
        </w:numPr>
        <w:pStyle w:val="SourceCode"/>
      </w:pPr>
      <w:r>
        <w:rPr>
          <w:rStyle w:val="VerbatimChar"/>
        </w:rPr>
        <w:t xml:space="preserve">## [1] 23 45</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 [1] 1 0</w:t>
      </w:r>
    </w:p>
    <w:p>
      <w:pPr>
        <w:numPr>
          <w:ilvl w:val="0"/>
          <w:numId w:val="1004"/>
        </w:numPr>
      </w:pPr>
      <w:r>
        <w:t xml:space="preserve">It is common to have metadata</w:t>
      </w:r>
      <w:r>
        <w:t xml:space="preserve"> </w:t>
      </w:r>
      <w:r>
        <w:rPr>
          <w:bCs/>
          <w:b/>
        </w:rPr>
        <w:t xml:space="preserve">attributes,</w:t>
      </w:r>
      <w:r>
        <w:t xml:space="preserve"> </w:t>
      </w:r>
      <w:r>
        <w:t xml:space="preserve">such as</w:t>
      </w:r>
      <w:r>
        <w:t xml:space="preserve"> </w:t>
      </w:r>
      <w:r>
        <w:rPr>
          <w:bCs/>
          <w:b/>
        </w:rPr>
        <w:t xml:space="preserve">names,</w:t>
      </w:r>
      <w:r>
        <w:t xml:space="preserve"> </w:t>
      </w:r>
      <w:r>
        <w:t xml:space="preserve">attached to R data structures.</w:t>
      </w:r>
    </w:p>
    <w:p>
      <w:pPr>
        <w:numPr>
          <w:ilvl w:val="0"/>
          <w:numId w:val="1000"/>
        </w:num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numPr>
          <w:ilvl w:val="0"/>
          <w:numId w:val="1000"/>
        </w:numPr>
        <w:pStyle w:val="SourceCode"/>
      </w:pPr>
      <w:r>
        <w:rPr>
          <w:rStyle w:val="VerbatimChar"/>
        </w:rPr>
        <w:t xml:space="preserve">## a b c </w:t>
      </w:r>
      <w:r>
        <w:br/>
      </w:r>
      <w:r>
        <w:rPr>
          <w:rStyle w:val="VerbatimChar"/>
        </w:rPr>
        <w:t xml:space="preserve">## 1 2 3</w:t>
      </w:r>
    </w:p>
    <w:p>
      <w:pPr>
        <w:numPr>
          <w:ilvl w:val="0"/>
          <w:numId w:val="1000"/>
        </w:numPr>
      </w:pPr>
      <w:r>
        <w:drawing>
          <wp:inline>
            <wp:extent cx="792072" cy="504602"/>
            <wp:effectExtent b="0" l="0" r="0" t="0"/>
            <wp:docPr descr="" title="" id="1" name="Picture"/>
            <a:graphic>
              <a:graphicData uri="http://schemas.openxmlformats.org/drawingml/2006/picture">
                <pic:pic>
                  <pic:nvPicPr>
                    <pic:cNvPr descr="https://d33wubrfki0l68.cloudfront.net/1140c34226b3b04438aec65c8fc6b28758d8c091/1748a/diagrams/vectors/attr-names-2.png" id="0" name="Picture"/>
                    <pic:cNvPicPr>
                      <a:picLocks noChangeArrowheads="1" noChangeAspect="1"/>
                    </pic:cNvPicPr>
                  </pic:nvPicPr>
                  <pic:blipFill>
                    <a:blip r:embed="rId29"/>
                    <a:stretch>
                      <a:fillRect/>
                    </a:stretch>
                  </pic:blipFill>
                  <pic:spPr bwMode="auto">
                    <a:xfrm>
                      <a:off x="0" y="0"/>
                      <a:ext cx="792072" cy="504602"/>
                    </a:xfrm>
                    <a:prstGeom prst="rect">
                      <a:avLst/>
                    </a:prstGeom>
                    <a:noFill/>
                    <a:ln w="9525">
                      <a:noFill/>
                      <a:headEnd/>
                      <a:tailEnd/>
                    </a:ln>
                  </pic:spPr>
                </pic:pic>
              </a:graphicData>
            </a:graphic>
          </wp:inline>
        </w:drawing>
      </w:r>
    </w:p>
    <w:p>
      <w:pPr>
        <w:pStyle w:val="FirstParagraph"/>
      </w:pPr>
      <w:r>
        <w:t xml:space="preserve">We can look for more general attributes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bookmarkStart w:id="30" w:name="ways-to-subset-a-vector"/>
    <w:p>
      <w:pPr>
        <w:pStyle w:val="Heading3"/>
      </w:pPr>
      <w:r>
        <w:rPr>
          <w:rStyle w:val="SectionNumber"/>
        </w:rPr>
        <w:t xml:space="preserve">2.4.1</w:t>
      </w:r>
      <w:r>
        <w:tab/>
      </w:r>
      <w:r>
        <w:t xml:space="preserve">Ways to subset a vector</w:t>
      </w:r>
    </w:p>
    <w:p>
      <w:pPr>
        <w:numPr>
          <w:ilvl w:val="0"/>
          <w:numId w:val="1005"/>
        </w:numPr>
        <w:pStyle w:val="Compact"/>
      </w:pPr>
      <w:r>
        <w:t xml:space="preserve">Positive numeric vector</w:t>
      </w:r>
    </w:p>
    <w:p>
      <w:pPr>
        <w:numPr>
          <w:ilvl w:val="0"/>
          <w:numId w:val="1005"/>
        </w:numPr>
        <w:pStyle w:val="Compact"/>
      </w:pPr>
      <w:r>
        <w:t xml:space="preserve">Negative numeric vector performs</w:t>
      </w:r>
      <w:r>
        <w:t xml:space="preserve"> </w:t>
      </w:r>
      <w:r>
        <w:rPr>
          <w:iCs/>
          <w:i/>
        </w:rPr>
        <w:t xml:space="preserve">exclusion</w:t>
      </w:r>
    </w:p>
    <w:p>
      <w:pPr>
        <w:numPr>
          <w:ilvl w:val="0"/>
          <w:numId w:val="1005"/>
        </w:numPr>
        <w:pStyle w:val="Compact"/>
      </w:pPr>
      <w:r>
        <w:t xml:space="preserve">Logical vector</w:t>
      </w:r>
    </w:p>
    <w:bookmarkEnd w:id="30"/>
    <w:bookmarkStart w:id="31" w:name="practice-implicit-subsetting"/>
    <w:p>
      <w:pPr>
        <w:pStyle w:val="Heading3"/>
      </w:pPr>
      <w:r>
        <w:rPr>
          <w:rStyle w:val="SectionNumber"/>
        </w:rPr>
        <w:t xml:space="preserve">2.4.2</w:t>
      </w:r>
      <w:r>
        <w:tab/>
      </w:r>
      <w:r>
        <w:t xml:space="preserve">Practice implicit subsetting</w:t>
      </w:r>
    </w:p>
    <w:p>
      <w:pPr>
        <w:numPr>
          <w:ilvl w:val="0"/>
          <w:numId w:val="1006"/>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7"/>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8"/>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31"/>
    <w:bookmarkEnd w:id="32"/>
    <w:bookmarkStart w:id="35" w:name="dataframes"/>
    <w:p>
      <w:pPr>
        <w:pStyle w:val="Heading2"/>
      </w:pPr>
      <w:r>
        <w:rPr>
          <w:rStyle w:val="SectionNumber"/>
        </w:rPr>
        <w:t xml:space="preserve">2.5</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Why are row names</w:t>
      </w:r>
      <w:r>
        <w:t xml:space="preserve"> </w:t>
      </w:r>
      <w:hyperlink r:id="rId33">
        <w:r>
          <w:rPr>
            <w:rStyle w:val="Hyperlink"/>
          </w:rPr>
          <w:t xml:space="preserve">undesirable</w:t>
        </w:r>
      </w:hyperlink>
      <w:r>
        <w:t xml:space="preserve">?</w:t>
      </w:r>
    </w:p>
    <w:p>
      <w:pPr>
        <w:pStyle w:val="BodyText"/>
      </w:pPr>
      <w:r>
        <w:t xml:space="preserve">Sometimes, data frames will be in a format called</w:t>
      </w:r>
      <w:r>
        <w:t xml:space="preserve"> </w:t>
      </w:r>
      <w:r>
        <w:t xml:space="preserve">“</w:t>
      </w:r>
      <w:r>
        <w:t xml:space="preserve">tibble</w:t>
      </w:r>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bookmarkStart w:id="34" w:name="subsetting-dataframes"/>
    <w:p>
      <w:pPr>
        <w:pStyle w:val="Heading3"/>
      </w:pPr>
      <w:r>
        <w:rPr>
          <w:rStyle w:val="SectionNumber"/>
        </w:rPr>
        <w:t xml:space="preserve">2.5.1</w:t>
      </w:r>
      <w:r>
        <w:tab/>
      </w:r>
      <w:r>
        <w:t xml:space="preserve">Subsetting dataframes</w:t>
      </w:r>
    </w:p>
    <w:p>
      <w:pPr>
        <w:pStyle w:val="FirstParagraph"/>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34"/>
    <w:bookmarkEnd w:id="35"/>
    <w:bookmarkStart w:id="39" w:name="lists"/>
    <w:p>
      <w:pPr>
        <w:pStyle w:val="Heading2"/>
      </w:pPr>
      <w:r>
        <w:rPr>
          <w:rStyle w:val="SectionNumber"/>
        </w:rPr>
        <w:t xml:space="preserve">2.6</w:t>
      </w:r>
      <w:r>
        <w:tab/>
      </w:r>
      <w:r>
        <w:t xml:space="preserve">Lists</w:t>
      </w:r>
    </w:p>
    <w:p>
      <w:pPr>
        <w:pStyle w:val="FirstParagraph"/>
      </w:pPr>
      <w:r>
        <w:t xml:space="preserve">Lists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FirstParagraph"/>
      </w:pPr>
      <w:r>
        <w:drawing>
          <wp:inline>
            <wp:extent cx="3431293" cy="431205"/>
            <wp:effectExtent b="0" l="0" r="0" t="0"/>
            <wp:docPr descr="" title="" id="1" name="Picture"/>
            <a:graphic>
              <a:graphicData uri="http://schemas.openxmlformats.org/drawingml/2006/picture">
                <pic:pic>
                  <pic:nvPicPr>
                    <pic:cNvPr descr="https://d33wubrfki0l68.cloudfront.net/9628eed602df6fd55d9bced4fba0a5a85d93db8a/36c16/diagrams/vectors/list.png" id="0" name="Picture"/>
                    <pic:cNvPicPr>
                      <a:picLocks noChangeArrowheads="1" noChangeAspect="1"/>
                    </pic:cNvPicPr>
                  </pic:nvPicPr>
                  <pic:blipFill>
                    <a:blip r:embed="rId36"/>
                    <a:stretch>
                      <a:fillRect/>
                    </a:stretch>
                  </pic:blipFill>
                  <pic:spPr bwMode="auto">
                    <a:xfrm>
                      <a:off x="0" y="0"/>
                      <a:ext cx="3431293" cy="431205"/>
                    </a:xfrm>
                    <a:prstGeom prst="rect">
                      <a:avLst/>
                    </a:prstGeom>
                    <a:noFill/>
                    <a:ln w="9525">
                      <a:noFill/>
                      <a:headEnd/>
                      <a:tailEnd/>
                    </a:ln>
                  </pic:spPr>
                </pic:pic>
              </a:graphicData>
            </a:graphic>
          </wp:inline>
        </w:drawing>
      </w:r>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37">
        <w:r>
          <w:rPr>
            <w:rStyle w:val="Hyperlink"/>
          </w:rPr>
          <w:t xml:space="preserve">here</w:t>
        </w:r>
      </w:hyperlink>
      <w:r>
        <w:t xml:space="preserve">.)</w:t>
      </w:r>
    </w:p>
    <w:p>
      <w:pPr>
        <w:pStyle w:val="BodyText"/>
      </w:pPr>
      <w:r>
        <w:t xml:space="preserve">Here’s a</w:t>
      </w:r>
      <w:r>
        <w:t xml:space="preserve"> </w:t>
      </w:r>
      <w:hyperlink r:id="rId38">
        <w:r>
          <w:rPr>
            <w:rStyle w:val="Hyperlink"/>
          </w:rPr>
          <w:t xml:space="preserve">nice metaphor</w:t>
        </w:r>
      </w:hyperlink>
      <w:r>
        <w:t xml:space="preserve">:</w:t>
      </w:r>
    </w:p>
    <w:p>
      <w:pPr>
        <w:pStyle w:val="BlockText"/>
      </w:pP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 the object in car 5;</w:t>
      </w:r>
      <w:r>
        <w:t xml:space="preserve"> </w:t>
      </w:r>
      <w:r>
        <w:rPr>
          <w:rStyle w:val="VerbatimChar"/>
        </w:rPr>
        <w:t xml:space="preserve">x[4:6]</w:t>
      </w:r>
      <w:r>
        <w:t xml:space="preserve"> </w:t>
      </w:r>
      <w:r>
        <w:t xml:space="preserve">is a train of cars 4-6.</w:t>
      </w:r>
    </w:p>
    <w:p>
      <w:pPr>
        <w:pStyle w:val="SourceCode"/>
      </w:pPr>
      <w:r>
        <w:rPr>
          <w:rStyle w:val="NormalTok"/>
        </w:rPr>
        <w:t xml:space="preserve">l1[[</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l1[[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A dataframe is just a named list of vectors of same length with</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39"/>
    <w:bookmarkEnd w:id="40"/>
    <w:bookmarkStart w:id="41" w:name="fundamentals-exercises"/>
    <w:p>
      <w:pPr>
        <w:pStyle w:val="Heading1"/>
      </w:pPr>
      <w:r>
        <w:rPr>
          <w:rStyle w:val="SectionNumber"/>
        </w:rPr>
        <w:t xml:space="preserve">3</w:t>
      </w:r>
      <w:r>
        <w:tab/>
      </w:r>
      <w:r>
        <w:t xml:space="preserve">Fundamentals Exercises</w:t>
      </w:r>
    </w:p>
    <w:bookmarkEnd w:id="41"/>
    <w:bookmarkStart w:id="46" w:name="data-cleaning-part-1"/>
    <w:p>
      <w:pPr>
        <w:pStyle w:val="Heading1"/>
      </w:pPr>
      <w:r>
        <w:rPr>
          <w:rStyle w:val="SectionNumber"/>
        </w:rPr>
        <w:t xml:space="preserve">4</w:t>
      </w:r>
      <w:r>
        <w:tab/>
      </w:r>
      <w:r>
        <w:t xml:space="preserve">Data Cleaning, Part 1</w:t>
      </w:r>
    </w:p>
    <w:bookmarkStart w:id="43" w:name="interpreting-functions-carefully"/>
    <w:p>
      <w:pPr>
        <w:pStyle w:val="Heading2"/>
      </w:pPr>
      <w:r>
        <w:rPr>
          <w:rStyle w:val="SectionNumber"/>
        </w:rPr>
        <w:t xml:space="preserve">4.1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bookmarkStart w:id="42" w:name="application-data-importing"/>
    <w:p>
      <w:pPr>
        <w:pStyle w:val="Heading3"/>
      </w:pPr>
      <w:r>
        <w:rPr>
          <w:rStyle w:val="SectionNumber"/>
        </w:rPr>
        <w:t xml:space="preserve">4.1.1</w:t>
      </w:r>
      <w:r>
        <w:tab/>
      </w:r>
      <w:r>
        <w:t xml:space="preserve">Application: Data Importing</w:t>
      </w:r>
    </w:p>
    <w:p>
      <w:pPr>
        <w:pStyle w:val="FirstParagraph"/>
      </w:pPr>
      <w:r>
        <w:t xml:space="preserve">Here are some common functions for importing your data:</w:t>
      </w:r>
    </w:p>
    <w:p>
      <w:pPr>
        <w:numPr>
          <w:ilvl w:val="0"/>
          <w:numId w:val="1009"/>
        </w:numPr>
      </w:pPr>
      <w:r>
        <w:rPr>
          <w:rStyle w:val="VerbatimChar"/>
        </w:rPr>
        <w:t xml:space="preserve">read_csv("file.csv")</w:t>
      </w:r>
      <w:r>
        <w:t xml:space="preserve"> </w:t>
      </w:r>
      <w:r>
        <w:t xml:space="preserve">for comma-separated files</w:t>
      </w:r>
    </w:p>
    <w:p>
      <w:pPr>
        <w:numPr>
          <w:ilvl w:val="0"/>
          <w:numId w:val="1009"/>
        </w:numPr>
      </w:pPr>
      <w:r>
        <w:rPr>
          <w:rStyle w:val="VerbatimChar"/>
        </w:rPr>
        <w:t xml:space="preserve">read_tsv("file.tsv")</w:t>
      </w:r>
      <w:r>
        <w:t xml:space="preserve"> </w:t>
      </w:r>
      <w:r>
        <w:t xml:space="preserve">for tab-deliminated files</w:t>
      </w:r>
    </w:p>
    <w:p>
      <w:pPr>
        <w:numPr>
          <w:ilvl w:val="0"/>
          <w:numId w:val="1009"/>
        </w:numPr>
      </w:pPr>
      <w:r>
        <w:rPr>
          <w:rStyle w:val="VerbatimChar"/>
        </w:rPr>
        <w:t xml:space="preserve">read_excel("example.xlsx")</w:t>
      </w:r>
      <w:r>
        <w:t xml:space="preserve"> </w:t>
      </w:r>
      <w:r>
        <w:t xml:space="preserve">for excel files</w:t>
      </w:r>
    </w:p>
    <w:p>
      <w:pPr>
        <w:numPr>
          <w:ilvl w:val="0"/>
          <w:numId w:val="1009"/>
        </w:numPr>
      </w:pPr>
      <w:r>
        <w:rPr>
          <w:rStyle w:val="VerbatimChar"/>
        </w:rPr>
        <w:t xml:space="preserve">read_excel("example.xlsx", sheet = "sheet1")</w:t>
      </w:r>
      <w:r>
        <w:t xml:space="preserve"> </w:t>
      </w:r>
      <w:r>
        <w:t xml:space="preserve">for excel files with a sheet name</w:t>
      </w:r>
    </w:p>
    <w:p>
      <w:pPr>
        <w:numPr>
          <w:ilvl w:val="0"/>
          <w:numId w:val="1009"/>
        </w:numPr>
      </w:pPr>
      <w:r>
        <w:rPr>
          <w:rStyle w:val="VerbatimChar"/>
        </w:rPr>
        <w:t xml:space="preserve">read_delim()</w:t>
      </w:r>
      <w:r>
        <w:t xml:space="preserve"> </w:t>
      </w:r>
      <w:r>
        <w:t xml:space="preserve">for general-deliminated files, such as:</w:t>
      </w:r>
      <w:r>
        <w:t xml:space="preserve"> </w:t>
      </w:r>
      <w:r>
        <w:rPr>
          <w:rStyle w:val="VerbatimChar"/>
        </w:rPr>
        <w:t xml:space="preserve">read_delim("file.csv", sep = ",")</w:t>
      </w:r>
      <w:r>
        <w:t xml:space="preserve">.</w:t>
      </w:r>
    </w:p>
    <w:p>
      <w:pPr>
        <w:pStyle w:val="FirstParagraph"/>
      </w:pPr>
      <w:r>
        <w:t xml:space="preserve">You will look at the function documentation on your own to see how to deal with more complex cases.</w:t>
      </w:r>
    </w:p>
    <w:bookmarkEnd w:id="42"/>
    <w:bookmarkEnd w:id="43"/>
    <w:bookmarkStart w:id="44" w:name="recoding-data-conditionals"/>
    <w:p>
      <w:pPr>
        <w:pStyle w:val="Heading2"/>
      </w:pPr>
      <w:r>
        <w:rPr>
          <w:rStyle w:val="SectionNumber"/>
        </w:rPr>
        <w:t xml:space="preserve">4.2</w:t>
      </w:r>
      <w:r>
        <w:tab/>
      </w:r>
      <w:r>
        <w:t xml:space="preserve">Recoding Data / Conditionals</w:t>
      </w:r>
    </w:p>
    <w:p>
      <w:pPr>
        <w:pStyle w:val="FirstParagraph"/>
      </w:pPr>
      <w:r>
        <w:t xml:space="preserve">It is often said that 80% of data analysis is spent on the cleaning and preparing data. Today we will start looking at common data cleaning tasks. 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10"/>
        </w:numPr>
      </w:pPr>
      <w:r>
        <w:t xml:space="preserve">If:</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w:t>
      </w:r>
      <w:r>
        <w:t xml:space="preserve">.</w:t>
      </w:r>
      <w:r>
        <w:t xml:space="preserve">”</w:t>
      </w:r>
    </w:p>
    <w:p>
      <w:pPr>
        <w:numPr>
          <w:ilvl w:val="0"/>
          <w:numId w:val="1010"/>
        </w:numPr>
      </w:pPr>
      <w:r>
        <w:t xml:space="preserve">If-else:</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 X</w:t>
      </w:r>
      <w:r>
        <w:t xml:space="preserve">. Otherwise, they are assigned</w:t>
      </w:r>
      <w:r>
        <w:t xml:space="preserve"> </w:t>
      </w:r>
      <w:r>
        <w:rPr>
          <w:iCs/>
          <w:i/>
        </w:rPr>
        <w:t xml:space="preserve">value Y</w:t>
      </w:r>
      <w:r>
        <w:t xml:space="preserve">.</w:t>
      </w:r>
      <w:r>
        <w:t xml:space="preserve">”</w:t>
      </w:r>
    </w:p>
    <w:p>
      <w:pPr>
        <w:numPr>
          <w:ilvl w:val="0"/>
          <w:numId w:val="1010"/>
        </w:numPr>
      </w:pPr>
      <w:r>
        <w:t xml:space="preserve">If-else_if-else:</w:t>
      </w:r>
      <w:r>
        <w:t xml:space="preserve"> </w:t>
      </w:r>
      <w:r>
        <w:t xml:space="preserve">“</w:t>
      </w:r>
      <w:r>
        <w:t xml:space="preserve">If elements of the vector meets</w:t>
      </w:r>
      <w:r>
        <w:t xml:space="preserve"> </w:t>
      </w:r>
      <w:r>
        <w:rPr>
          <w:iCs/>
          <w:i/>
        </w:rPr>
        <w:t xml:space="preserve">condition A</w:t>
      </w:r>
      <w:r>
        <w:t xml:space="preserve">, then they are assigned</w:t>
      </w:r>
      <w:r>
        <w:t xml:space="preserve"> </w:t>
      </w:r>
      <w:r>
        <w:rPr>
          <w:iCs/>
          <w:i/>
        </w:rPr>
        <w:t xml:space="preserve">value X</w:t>
      </w:r>
      <w:r>
        <w:t xml:space="preserve">. Else, if the elements of the vector meets</w:t>
      </w:r>
      <w:r>
        <w:t xml:space="preserve"> </w:t>
      </w:r>
      <w:r>
        <w:rPr>
          <w:iCs/>
          <w:i/>
        </w:rPr>
        <w:t xml:space="preserve">condition B</w:t>
      </w:r>
      <w:r>
        <w:t xml:space="preserve">, they are assigned</w:t>
      </w:r>
      <w:r>
        <w:t xml:space="preserve"> </w:t>
      </w:r>
      <w:r>
        <w:rPr>
          <w:iCs/>
          <w:i/>
        </w:rPr>
        <w:t xml:space="preserve">value Y</w:t>
      </w:r>
      <w:r>
        <w:t xml:space="preserve">. Otherwise, they are assigned</w:t>
      </w:r>
      <w:r>
        <w:t xml:space="preserve"> </w:t>
      </w:r>
      <w:r>
        <w:rPr>
          <w:iCs/>
          <w:i/>
        </w:rPr>
        <w:t xml:space="preserve">value Z</w:t>
      </w:r>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1"/>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2"/>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4"/>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5"/>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6"/>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mutate(simple_df,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44"/>
    <w:bookmarkStart w:id="45" w:name="conditionals"/>
    <w:p>
      <w:pPr>
        <w:pStyle w:val="Heading2"/>
      </w:pPr>
      <w:r>
        <w:rPr>
          <w:rStyle w:val="SectionNumber"/>
        </w:rPr>
        <w:t xml:space="preserve">4.3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7"/>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18"/>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19"/>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bookmarkEnd w:id="45"/>
    <w:bookmarkEnd w:id="46"/>
    <w:bookmarkStart w:id="49" w:name="data-cleaning-part-1-exercises"/>
    <w:p>
      <w:pPr>
        <w:pStyle w:val="Heading1"/>
      </w:pPr>
      <w:r>
        <w:rPr>
          <w:rStyle w:val="SectionNumber"/>
        </w:rPr>
        <w:t xml:space="preserve">5</w:t>
      </w:r>
      <w:r>
        <w:tab/>
      </w:r>
      <w:r>
        <w:t xml:space="preserve">Data Cleaning, Part 1 Exercises</w:t>
      </w:r>
    </w:p>
    <w:p>
      <w:pPr>
        <w:pStyle w:val="FirstParagraph"/>
      </w:pPr>
      <w:r>
        <w:t xml:space="preserve">Suppose that you want to load in some data, and you don’t know what tools to use. You decide to see whether the package</w:t>
      </w:r>
      <w:r>
        <w:t xml:space="preserve"> </w:t>
      </w:r>
      <w:r>
        <w:t xml:space="preserve">“</w:t>
      </w:r>
      <w:r>
        <w:t xml:space="preserve">readr</w:t>
      </w:r>
      <w:r>
        <w:t xml:space="preserve">”</w:t>
      </w:r>
      <w:r>
        <w:t xml:space="preserve"> </w:t>
      </w:r>
      <w:r>
        <w:t xml:space="preserve">can be useful to solve your problem. Where should you look? All R packages must be stored on CRAN (Comprehensive R Archive Network), and all packages have a website that points to the reference manual (what is pulled up using the</w:t>
      </w:r>
      <w:r>
        <w:t xml:space="preserve"> </w:t>
      </w:r>
      <w:r>
        <w:rPr>
          <w:rStyle w:val="VerbatimChar"/>
        </w:rPr>
        <w:t xml:space="preserve">?</w:t>
      </w:r>
      <w:r>
        <w:t xml:space="preserve"> </w:t>
      </w:r>
      <w:r>
        <w:t xml:space="preserve">command), source code, vignettes examples, and dependencies on other packages. Here is</w:t>
      </w:r>
      <w:r>
        <w:t xml:space="preserve"> </w:t>
      </w:r>
      <w:hyperlink r:id="rId47">
        <w:r>
          <w:rPr>
            <w:rStyle w:val="Hyperlink"/>
          </w:rPr>
          <w:t xml:space="preserve">the website</w:t>
        </w:r>
      </w:hyperlink>
      <w:r>
        <w:t xml:space="preserve"> </w:t>
      </w:r>
      <w:r>
        <w:t xml:space="preserve">for</w:t>
      </w:r>
      <w:r>
        <w:t xml:space="preserve"> </w:t>
      </w:r>
      <w:r>
        <w:t xml:space="preserve">“</w:t>
      </w:r>
      <w:r>
        <w:t xml:space="preserve">readr</w:t>
      </w:r>
      <w:r>
        <w:t xml:space="preserve">”</w:t>
      </w:r>
      <w:r>
        <w:t xml:space="preserve">.</w:t>
      </w:r>
    </w:p>
    <w:p>
      <w:pPr>
        <w:pStyle w:val="BodyText"/>
      </w:pPr>
      <w:r>
        <w:t xml:space="preserve">After looking at the vignettes, it seems that</w:t>
      </w:r>
      <w:r>
        <w:t xml:space="preserve"> </w:t>
      </w:r>
      <w:r>
        <w:rPr>
          <w:rStyle w:val="VerbatimChar"/>
        </w:rPr>
        <w:t xml:space="preserve">read_delim()</w:t>
      </w:r>
      <w:r>
        <w:t xml:space="preserve"> </w:t>
      </w:r>
      <w:r>
        <w:t xml:space="preserve">is a function to try.</w:t>
      </w:r>
    </w:p>
    <w:p>
      <w:pPr>
        <w:pStyle w:val="BodyText"/>
      </w:pPr>
      <w:r>
        <w:t xml:space="preserve">Let’s look at the</w:t>
      </w:r>
      <w:r>
        <w:t xml:space="preserve"> </w:t>
      </w:r>
      <w:r>
        <w:rPr>
          <w:rStyle w:val="VerbatimChar"/>
        </w:rPr>
        <w:t xml:space="preserve">read_delim()</w:t>
      </w:r>
      <w:r>
        <w:t xml:space="preserve"> </w:t>
      </w:r>
      <w:r>
        <w:t xml:space="preserve">function documentation.</w:t>
      </w:r>
    </w:p>
    <w:p>
      <w:pPr>
        <w:pStyle w:val="SourceCode"/>
      </w:pPr>
      <w:r>
        <w:rPr>
          <w:rStyle w:val="VerbatimChar"/>
        </w:rPr>
        <w:t xml:space="preserve">Usage:</w:t>
      </w:r>
      <w:r>
        <w:br/>
      </w:r>
      <w:r>
        <w:br/>
      </w:r>
      <w:r>
        <w:rPr>
          <w:rStyle w:val="VerbatimChar"/>
        </w:rPr>
        <w:t xml:space="preserve">     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     )</w:t>
      </w:r>
    </w:p>
    <w:p>
      <w:pPr>
        <w:pStyle w:val="FirstParagraph"/>
      </w:pPr>
      <w:hyperlink r:id="rId48">
        <w:r>
          <w:rPr>
            <w:rStyle w:val="Hyperlink"/>
          </w:rPr>
          <w:t xml:space="preserve">https://r4ds.hadley.nz/spreadsheets</w:t>
        </w:r>
      </w:hyperlink>
    </w:p>
    <w:bookmarkEnd w:id="49"/>
    <w:bookmarkStart w:id="65" w:name="data-cleaning-part-2"/>
    <w:p>
      <w:pPr>
        <w:pStyle w:val="Heading1"/>
      </w:pPr>
      <w:r>
        <w:rPr>
          <w:rStyle w:val="SectionNumber"/>
        </w:rPr>
        <w:t xml:space="preserve">6</w:t>
      </w:r>
      <w:r>
        <w:tab/>
      </w:r>
      <w:r>
        <w:t xml:space="preserve">Data Cleaning, Part 2</w:t>
      </w:r>
    </w:p>
    <w:p>
      <w:pPr>
        <w:pStyle w:val="SourceCode"/>
      </w:pPr>
      <w:r>
        <w:rPr>
          <w:rStyle w:val="FunctionTok"/>
        </w:rPr>
        <w:t xml:space="preserve">library</w:t>
      </w:r>
      <w:r>
        <w:rPr>
          <w:rStyle w:val="NormalTok"/>
        </w:rPr>
        <w:t xml:space="preserve">(tidyverse)</w:t>
      </w:r>
    </w:p>
    <w:bookmarkStart w:id="55" w:name="tidy-data"/>
    <w:p>
      <w:pPr>
        <w:pStyle w:val="Heading2"/>
      </w:pPr>
      <w:r>
        <w:rPr>
          <w:rStyle w:val="SectionNumber"/>
        </w:rPr>
        <w:t xml:space="preserve">6.1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0"/>
        </w:numPr>
      </w:pPr>
      <w:r>
        <w:t xml:space="preserve">Each variable must have its own column.</w:t>
      </w:r>
    </w:p>
    <w:p>
      <w:pPr>
        <w:numPr>
          <w:ilvl w:val="0"/>
          <w:numId w:val="1020"/>
        </w:numPr>
      </w:pPr>
      <w:r>
        <w:t xml:space="preserve">Each observation must have its own row.</w:t>
      </w:r>
    </w:p>
    <w:p>
      <w:pPr>
        <w:numPr>
          <w:ilvl w:val="0"/>
          <w:numId w:val="1020"/>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50"/>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1" w:name="fig1"/>
      <w:r>
        <w:t xml:space="preserve">Figure </w:t>
      </w:r>
      <w:fldSimple w:instr="SEQ Figure \* ARABIC ">
        <w:r>
          <w:t>1</w:t>
        </w:r>
      </w:fldSimple>
      <w:r>
        <w:t xml:space="preserve">:</w:t>
      </w:r>
      <w:r>
        <w:t xml:space="preserve"> </w:t>
      </w:r>
      <w:bookmarkEnd w:id="51"/>
      <w:r>
        <w:t xml:space="preserve">A tidy dataframe.</w:t>
      </w:r>
    </w:p>
    <w:p>
      <w:pPr>
        <w:pStyle w:val="BodyText"/>
      </w:pPr>
      <w:r>
        <w:t xml:space="preserve">Besides a standard, Tidy data is useful because many tools in R are most effective when your data is in a Tidy format. This includes data visualization with ggplot, regression models, databases, and more. These tools assumes the values of each variable fall in their own column vector.</w:t>
      </w:r>
    </w:p>
    <w:p>
      <w:pPr>
        <w:pStyle w:val="BodyText"/>
      </w:pPr>
      <w:r>
        <w:t xml:space="preserve">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1"/>
        </w:numPr>
      </w:pPr>
      <w:r>
        <w:t xml:space="preserve">Columns contain values of variables, rather than variables</w:t>
      </w:r>
    </w:p>
    <w:p>
      <w:pPr>
        <w:numPr>
          <w:ilvl w:val="0"/>
          <w:numId w:val="1021"/>
        </w:numPr>
      </w:pPr>
      <w:r>
        <w:t xml:space="preserve">Variables are stored in rows</w:t>
      </w:r>
    </w:p>
    <w:p>
      <w:pPr>
        <w:numPr>
          <w:ilvl w:val="0"/>
          <w:numId w:val="1021"/>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52" w:name="Xc7196780a67fc98490ee596a14aa1b47d6c7c83"/>
    <w:p>
      <w:pPr>
        <w:pStyle w:val="Heading3"/>
      </w:pPr>
      <w:r>
        <w:rPr>
          <w:rStyle w:val="SectionNumber"/>
        </w:rPr>
        <w:t xml:space="preserve">6.1.1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52"/>
    <w:bookmarkStart w:id="53" w:name="Xbc7482e5f49557b4f34f521ffbd6d5a7452e52b"/>
    <w:p>
      <w:pPr>
        <w:pStyle w:val="Heading3"/>
      </w:pPr>
      <w:r>
        <w:rPr>
          <w:rStyle w:val="SectionNumber"/>
        </w:rPr>
        <w:t xml:space="preserve">6.1.2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53"/>
    <w:bookmarkStart w:id="54" w:name="Xb7edd061abda4bc25f27750c158084bfdb1ef8c"/>
    <w:p>
      <w:pPr>
        <w:pStyle w:val="Heading3"/>
      </w:pPr>
      <w:r>
        <w:rPr>
          <w:rStyle w:val="SectionNumber"/>
        </w:rPr>
        <w:t xml:space="preserve">6.1.3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54"/>
    <w:bookmarkEnd w:id="55"/>
    <w:bookmarkStart w:id="58" w:name="uses-of-tidy-data"/>
    <w:p>
      <w:pPr>
        <w:pStyle w:val="Heading2"/>
      </w:pPr>
      <w:r>
        <w:rPr>
          <w:rStyle w:val="SectionNumber"/>
        </w:rPr>
        <w:t xml:space="preserve">6.2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1" w:name="subjectivity-in-tidy-data"/>
    <w:p>
      <w:pPr>
        <w:pStyle w:val="Heading2"/>
      </w:pPr>
      <w:r>
        <w:rPr>
          <w:rStyle w:val="SectionNumber"/>
        </w:rPr>
        <w:t xml:space="preserve">6.3</w:t>
      </w:r>
      <w:r>
        <w:tab/>
      </w:r>
      <w:r>
        <w:t xml:space="preserve">Subjectivity in Tidy Data</w:t>
      </w:r>
    </w:p>
    <w:p>
      <w:pPr>
        <w:pStyle w:val="FirstParagraph"/>
      </w:pPr>
      <w:r>
        <w:t xml:space="preserve">We have looked at clear cases of when a dataset is Tidy. In reality, the Tidy state depends on what we call variables and observations.</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4" w:name="references"/>
    <w:p>
      <w:pPr>
        <w:pStyle w:val="Heading2"/>
      </w:pPr>
      <w:r>
        <w:rPr>
          <w:rStyle w:val="SectionNumber"/>
        </w:rPr>
        <w:t xml:space="preserve">6.4</w:t>
      </w:r>
      <w:r>
        <w:tab/>
      </w:r>
      <w:r>
        <w:t xml:space="preserve">References</w:t>
      </w:r>
    </w:p>
    <w:p>
      <w:pPr>
        <w:pStyle w:val="FirstParagraph"/>
      </w:pPr>
      <w:hyperlink r:id="rId62">
        <w:r>
          <w:rPr>
            <w:rStyle w:val="Hyperlink"/>
          </w:rPr>
          <w:t xml:space="preserve">https://vita.had.co.nz/papers/tidy-data.html</w:t>
        </w:r>
      </w:hyperlink>
    </w:p>
    <w:p>
      <w:pPr>
        <w:pStyle w:val="BodyText"/>
      </w:pPr>
      <w:hyperlink r:id="rId63">
        <w:r>
          <w:rPr>
            <w:rStyle w:val="Hyperlink"/>
          </w:rPr>
          <w:t xml:space="preserve">https://kiwidamien.github.io/what-is-tidy-data.html</w:t>
        </w:r>
      </w:hyperlink>
    </w:p>
    <w:bookmarkEnd w:id="64"/>
    <w:bookmarkEnd w:id="65"/>
    <w:bookmarkStart w:id="66" w:name="data-cleaning-part-2-exercises"/>
    <w:p>
      <w:pPr>
        <w:pStyle w:val="Heading1"/>
      </w:pPr>
      <w:r>
        <w:rPr>
          <w:rStyle w:val="SectionNumber"/>
        </w:rPr>
        <w:t xml:space="preserve">7</w:t>
      </w:r>
      <w:r>
        <w:tab/>
      </w:r>
      <w:r>
        <w:t xml:space="preserve">Data Cleaning, Part 2 Exercises</w:t>
      </w:r>
    </w:p>
    <w:bookmarkEnd w:id="66"/>
    <w:bookmarkStart w:id="90" w:name="writing-your-first-function"/>
    <w:p>
      <w:pPr>
        <w:pStyle w:val="Heading1"/>
      </w:pPr>
      <w:r>
        <w:rPr>
          <w:rStyle w:val="SectionNumber"/>
        </w:rPr>
        <w:t xml:space="preserve">8</w:t>
      </w:r>
      <w:r>
        <w:tab/>
      </w:r>
      <w:r>
        <w:t xml:space="preserve">Writing your first function</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6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68" w:name="fig2"/>
      <w:r>
        <w:t xml:space="preserve">Figure </w:t>
      </w:r>
      <w:fldSimple w:instr="SEQ Figure \* ARABIC ">
        <w:r>
          <w:t>2</w:t>
        </w:r>
      </w:fldSimple>
      <w:r>
        <w:t xml:space="preserve">:</w:t>
      </w:r>
      <w:r>
        <w:t xml:space="preserve"> </w:t>
      </w:r>
      <w:bookmarkEnd w:id="68"/>
      <w:r>
        <w:t xml:space="preserve">Function machine from algebra class.</w:t>
      </w:r>
    </w:p>
    <w:p>
      <w:pPr>
        <w:pStyle w:val="BodyText"/>
      </w:pPr>
      <w:r>
        <w:t xml:space="preserve">We write functions for two main, often overlapping, reasons:</w:t>
      </w:r>
    </w:p>
    <w:p>
      <w:pPr>
        <w:numPr>
          <w:ilvl w:val="0"/>
          <w:numId w:val="1022"/>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2"/>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3"/>
        </w:numPr>
      </w:pPr>
      <w:r>
        <w:t xml:space="preserve">Code that has a well-defined set of inputs and outputs make a good function.</w:t>
      </w:r>
    </w:p>
    <w:p>
      <w:pPr>
        <w:numPr>
          <w:ilvl w:val="0"/>
          <w:numId w:val="1023"/>
        </w:numPr>
      </w:pPr>
      <w:r>
        <w:t xml:space="preserve">A function should do only one, well-defined task.</w:t>
      </w:r>
    </w:p>
    <w:bookmarkStart w:id="69" w:name="anatomy-of-a-function-definition"/>
    <w:p>
      <w:pPr>
        <w:pStyle w:val="Heading3"/>
      </w:pPr>
      <w:r>
        <w:rPr>
          <w:rStyle w:val="SectionNumber"/>
        </w:rPr>
        <w:t xml:space="preserve">8.0.1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69"/>
    <w:bookmarkStart w:id="70" w:name="local-and-global-environments"/>
    <w:p>
      <w:pPr>
        <w:pStyle w:val="Heading3"/>
      </w:pPr>
      <w:r>
        <w:rPr>
          <w:rStyle w:val="SectionNumber"/>
        </w:rPr>
        <w:t xml:space="preserve">8.0.2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70"/>
    <w:bookmarkStart w:id="79" w:name="a-step-by-step-example"/>
    <w:p>
      <w:pPr>
        <w:pStyle w:val="Heading3"/>
      </w:pPr>
      <w:r>
        <w:rPr>
          <w:rStyle w:val="SectionNumber"/>
        </w:rPr>
        <w:t xml:space="preserve">8.0.3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 name="Picture"/>
            <a:graphic>
              <a:graphicData uri="http://schemas.openxmlformats.org/drawingml/2006/picture">
                <pic:pic>
                  <pic:nvPicPr>
                    <pic:cNvPr descr="images/func1.png" id="0" name="Picture"/>
                    <pic:cNvPicPr>
                      <a:picLocks noChangeArrowheads="1" noChangeAspect="1"/>
                    </pic:cNvPicPr>
                  </pic:nvPicPr>
                  <pic:blipFill>
                    <a:blip r:embed="rId71"/>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bookmarkStart w:id="72" w:name="fig3"/>
      <w:r>
        <w:t xml:space="preserve">Figure </w:t>
      </w:r>
      <w:fldSimple w:instr="SEQ Figure \* ARABIC ">
        <w:r>
          <w:t>3</w:t>
        </w:r>
      </w:fldSimple>
      <w:r>
        <w:t xml:space="preserve">:</w:t>
      </w:r>
      <w:r>
        <w:t xml:space="preserve"> </w:t>
      </w:r>
      <w:bookmarkEnd w:id="72"/>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2.png" id="0" name="Picture"/>
                    <pic:cNvPicPr>
                      <a:picLocks noChangeArrowheads="1" noChangeAspect="1"/>
                    </pic:cNvPicPr>
                  </pic:nvPicPr>
                  <pic:blipFill>
                    <a:blip r:embed="rId73"/>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bookmarkStart w:id="74" w:name="fig4"/>
      <w:r>
        <w:t xml:space="preserve">Figure </w:t>
      </w:r>
      <w:fldSimple w:instr="SEQ Figure \* ARABIC ">
        <w:r>
          <w:t>4</w:t>
        </w:r>
      </w:fldSimple>
      <w:r>
        <w:t xml:space="preserve">:</w:t>
      </w:r>
      <w:r>
        <w:t xml:space="preserve"> </w:t>
      </w:r>
      <w:bookmarkEnd w:id="74"/>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3.png" id="0" name="Picture"/>
                    <pic:cNvPicPr>
                      <a:picLocks noChangeArrowheads="1" noChangeAspect="1"/>
                    </pic:cNvPicPr>
                  </pic:nvPicPr>
                  <pic:blipFill>
                    <a:blip r:embed="rId75"/>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bookmarkStart w:id="76" w:name="fig5"/>
      <w:r>
        <w:t xml:space="preserve">Figure </w:t>
      </w:r>
      <w:fldSimple w:instr="SEQ Figure \* ARABIC ">
        <w:r>
          <w:t>5</w:t>
        </w:r>
      </w:fldSimple>
      <w:r>
        <w:t xml:space="preserve">:</w:t>
      </w:r>
      <w:r>
        <w:t xml:space="preserve"> </w:t>
      </w:r>
      <w:bookmarkEnd w:id="76"/>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4.png" id="0" name="Picture"/>
                    <pic:cNvPicPr>
                      <a:picLocks noChangeArrowheads="1" noChangeAspect="1"/>
                    </pic:cNvPicPr>
                  </pic:nvPicPr>
                  <pic:blipFill>
                    <a:blip r:embed="rId77"/>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bookmarkStart w:id="78" w:name="fig6"/>
      <w:r>
        <w:t xml:space="preserve">Figure </w:t>
      </w:r>
      <w:fldSimple w:instr="SEQ Figure \* ARABIC ">
        <w:r>
          <w:t>6</w:t>
        </w:r>
      </w:fldSimple>
      <w:r>
        <w:t xml:space="preserve">:</w:t>
      </w:r>
      <w:r>
        <w:t xml:space="preserve"> </w:t>
      </w:r>
      <w:bookmarkEnd w:id="78"/>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79"/>
    <w:bookmarkStart w:id="88" w:name="function-arguments-create-modularity"/>
    <w:p>
      <w:pPr>
        <w:pStyle w:val="Heading3"/>
      </w:pPr>
      <w:r>
        <w:rPr>
          <w:rStyle w:val="SectionNumber"/>
        </w:rPr>
        <w:t xml:space="preserve">8.0.4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 name="Picture"/>
            <a:graphic>
              <a:graphicData uri="http://schemas.openxmlformats.org/drawingml/2006/picture">
                <pic:pic>
                  <pic:nvPicPr>
                    <pic:cNvPr descr="images/func5.png" id="0" name="Picture"/>
                    <pic:cNvPicPr>
                      <a:picLocks noChangeArrowheads="1" noChangeAspect="1"/>
                    </pic:cNvPicPr>
                  </pic:nvPicPr>
                  <pic:blipFill>
                    <a:blip r:embed="rId80"/>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bookmarkStart w:id="81" w:name="fig7"/>
      <w:r>
        <w:t xml:space="preserve">Figure </w:t>
      </w:r>
      <w:fldSimple w:instr="SEQ Figure \* ARABIC ">
        <w:r>
          <w:t>7</w:t>
        </w:r>
      </w:fldSimple>
      <w:r>
        <w:t xml:space="preserve">:</w:t>
      </w:r>
      <w:r>
        <w:t xml:space="preserve"> </w:t>
      </w:r>
      <w:bookmarkEnd w:id="81"/>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6.png" id="0" name="Picture"/>
                    <pic:cNvPicPr>
                      <a:picLocks noChangeArrowheads="1" noChangeAspect="1"/>
                    </pic:cNvPicPr>
                  </pic:nvPicPr>
                  <pic:blipFill>
                    <a:blip r:embed="rId82"/>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bookmarkStart w:id="83" w:name="fig8"/>
      <w:r>
        <w:t xml:space="preserve">Figure </w:t>
      </w:r>
      <w:fldSimple w:instr="SEQ Figure \* ARABIC ">
        <w:r>
          <w:t>8</w:t>
        </w:r>
      </w:fldSimple>
      <w:r>
        <w:t xml:space="preserve">:</w:t>
      </w:r>
      <w:r>
        <w:t xml:space="preserve"> </w:t>
      </w:r>
      <w:bookmarkEnd w:id="83"/>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7.png" id="0" name="Picture"/>
                    <pic:cNvPicPr>
                      <a:picLocks noChangeArrowheads="1" noChangeAspect="1"/>
                    </pic:cNvPicPr>
                  </pic:nvPicPr>
                  <pic:blipFill>
                    <a:blip r:embed="rId84"/>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bookmarkStart w:id="85" w:name="fig9"/>
      <w:r>
        <w:t xml:space="preserve">Figure </w:t>
      </w:r>
      <w:fldSimple w:instr="SEQ Figure \* ARABIC ">
        <w:r>
          <w:t>9</w:t>
        </w:r>
      </w:fldSimple>
      <w:r>
        <w:t xml:space="preserve">:</w:t>
      </w:r>
      <w:r>
        <w:t xml:space="preserve"> </w:t>
      </w:r>
      <w:bookmarkEnd w:id="85"/>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8.png" id="0" name="Picture"/>
                    <pic:cNvPicPr>
                      <a:picLocks noChangeArrowheads="1" noChangeAspect="1"/>
                    </pic:cNvPicPr>
                  </pic:nvPicPr>
                  <pic:blipFill>
                    <a:blip r:embed="rId86"/>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bookmarkStart w:id="87" w:name="fig10"/>
      <w:r>
        <w:t xml:space="preserve">Figure </w:t>
      </w:r>
      <w:fldSimple w:instr="SEQ Figure \* ARABIC ">
        <w:r>
          <w:t>10</w:t>
        </w:r>
      </w:fldSimple>
      <w:r>
        <w:t xml:space="preserve">:</w:t>
      </w:r>
      <w:r>
        <w:t xml:space="preserve"> </w:t>
      </w:r>
      <w:bookmarkEnd w:id="87"/>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88"/>
    <w:bookmarkStart w:id="89" w:name="exercises"/>
    <w:p>
      <w:pPr>
        <w:pStyle w:val="Heading3"/>
      </w:pPr>
      <w:r>
        <w:rPr>
          <w:rStyle w:val="SectionNumber"/>
        </w:rPr>
        <w:t xml:space="preserve">8.0.5</w:t>
      </w:r>
      <w:r>
        <w:tab/>
      </w:r>
      <w:r>
        <w:t xml:space="preserve">Exercises</w:t>
      </w:r>
    </w:p>
    <w:p>
      <w:pPr>
        <w:numPr>
          <w:ilvl w:val="0"/>
          <w:numId w:val="1024"/>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4"/>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4"/>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89"/>
    <w:bookmarkEnd w:id="90"/>
    <w:bookmarkStart w:id="91" w:name="functions-exercises"/>
    <w:p>
      <w:pPr>
        <w:pStyle w:val="Heading1"/>
      </w:pPr>
      <w:r>
        <w:rPr>
          <w:rStyle w:val="SectionNumber"/>
        </w:rPr>
        <w:t xml:space="preserve">9</w:t>
      </w:r>
      <w:r>
        <w:tab/>
      </w:r>
      <w:r>
        <w:t xml:space="preserve">Functions Exercises</w:t>
      </w:r>
    </w:p>
    <w:bookmarkEnd w:id="91"/>
    <w:bookmarkStart w:id="92" w:name="repetition"/>
    <w:p>
      <w:pPr>
        <w:pStyle w:val="Heading1"/>
      </w:pPr>
      <w:r>
        <w:rPr>
          <w:rStyle w:val="SectionNumber"/>
        </w:rPr>
        <w:t xml:space="preserve">10</w:t>
      </w:r>
      <w:r>
        <w:tab/>
      </w:r>
      <w:r>
        <w:t xml:space="preserve">Repetition</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5"/>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5"/>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5"/>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End w:id="92"/>
    <w:bookmarkStart w:id="93" w:name="repetition-exercises"/>
    <w:p>
      <w:pPr>
        <w:pStyle w:val="Heading1"/>
      </w:pPr>
      <w:r>
        <w:rPr>
          <w:rStyle w:val="SectionNumber"/>
        </w:rPr>
        <w:t xml:space="preserve">11</w:t>
      </w:r>
      <w:r>
        <w:tab/>
      </w:r>
      <w:r>
        <w:t xml:space="preserve">Repetition Exercises</w:t>
      </w:r>
    </w:p>
    <w:bookmarkEnd w:id="93"/>
    <w:bookmarkStart w:id="100" w:name="about-the-authors"/>
    <w:p>
      <w:pPr>
        <w:pStyle w:val="Heading1"/>
      </w:pPr>
      <w:r>
        <w:t xml:space="preserve">About the Authors</w:t>
      </w:r>
    </w:p>
    <w:p>
      <w:pPr>
        <w:pStyle w:val="FirstParagraph"/>
      </w:pPr>
      <w:r>
        <w:t xml:space="preserve">These credits are based on our</w:t>
      </w:r>
      <w:r>
        <w:t xml:space="preserve"> </w:t>
      </w:r>
      <w:hyperlink r:id="rId9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5">
              <w:r>
                <w:rPr>
                  <w:rStyle w:val="Hyperlink"/>
                </w:rPr>
                <w:t xml:space="preserve">Candace Savonen</w:t>
              </w:r>
            </w:hyperlink>
            <w:r>
              <w:t xml:space="preserve">,</w:t>
            </w:r>
            <w:r>
              <w:t xml:space="preserve"> </w:t>
            </w:r>
            <w:hyperlink r:id="rId96">
              <w:r>
                <w:rPr>
                  <w:rStyle w:val="Hyperlink"/>
                </w:rPr>
                <w:t xml:space="preserve">Carrie Wright</w:t>
              </w:r>
            </w:hyperlink>
            <w:r>
              <w:t xml:space="preserve">,</w:t>
            </w:r>
            <w:r>
              <w:t xml:space="preserve"> </w:t>
            </w:r>
            <w:hyperlink r:id="rId9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6">
              <w:r>
                <w:rPr>
                  <w:rStyle w:val="Hyperlink"/>
                </w:rPr>
                <w:t xml:space="preserve">Carrie Wright</w:t>
              </w:r>
            </w:hyperlink>
            <w:r>
              <w:t xml:space="preserve">,</w:t>
            </w:r>
            <w:r>
              <w:t xml:space="preserve"> </w:t>
            </w:r>
            <w:hyperlink r:id="rId97">
              <w:r>
                <w:rPr>
                  <w:rStyle w:val="Hyperlink"/>
                </w:rPr>
                <w:t xml:space="preserve">Ava Hoffman</w:t>
              </w:r>
            </w:hyperlink>
            <w:r>
              <w:t xml:space="preserve">,</w:t>
            </w:r>
            <w:r>
              <w:t xml:space="preserve"> </w:t>
            </w:r>
            <w:hyperlink r:id="rId95">
              <w:r>
                <w:rPr>
                  <w:rStyle w:val="Hyperlink"/>
                </w:rPr>
                <w:t xml:space="preserve">Candace Savonen</w:t>
              </w:r>
            </w:hyperlink>
          </w:p>
        </w:tc>
      </w:tr>
      <w:tr>
        <w:tc>
          <w:tcPr/>
          <w:p>
            <w:pPr>
              <w:pStyle w:val="Compact"/>
              <w:jc w:val="left"/>
            </w:pPr>
            <w:r>
              <w:t xml:space="preserve">Package Developers (</w:t>
            </w:r>
            <w:hyperlink r:id="rId98">
              <w:r>
                <w:rPr>
                  <w:rStyle w:val="Hyperlink"/>
                </w:rPr>
                <w:t xml:space="preserve">ottrpal</w:t>
              </w:r>
            </w:hyperlink>
            <w:r>
              <w:t xml:space="preserve">)</w:t>
            </w:r>
            <w:r>
              <w:t xml:space="preserve"> </w:t>
            </w:r>
            <w:hyperlink r:id="rId95">
              <w:r>
                <w:rPr>
                  <w:rStyle w:val="Hyperlink"/>
                </w:rPr>
                <w:t xml:space="preserve">Candace Savonen</w:t>
              </w:r>
            </w:hyperlink>
            <w:r>
              <w:t xml:space="preserve">,</w:t>
            </w:r>
            <w:r>
              <w:t xml:space="preserve"> </w:t>
            </w:r>
            <w:hyperlink r:id="rId99">
              <w:r>
                <w:rPr>
                  <w:rStyle w:val="Hyperlink"/>
                </w:rPr>
                <w:t xml:space="preserve">John Muschelli</w:t>
              </w:r>
            </w:hyperlink>
            <w:r>
              <w:t xml:space="preserve">,</w:t>
            </w:r>
            <w:r>
              <w:t xml:space="preserve"> </w:t>
            </w:r>
            <w:hyperlink r:id="rId9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0"/>
    <w:bookmarkStart w:id="101" w:name="references-1"/>
    <w:p>
      <w:pPr>
        <w:pStyle w:val="Heading1"/>
      </w:pPr>
      <w:r>
        <w:rPr>
          <w:rStyle w:val="SectionNumber"/>
        </w:rPr>
        <w:t xml:space="preserve">12</w:t>
      </w:r>
      <w:r>
        <w:tab/>
      </w:r>
      <w:r>
        <w:t xml:space="preserve">References</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96" Target="https://carriewright11.github.io/" TargetMode="External" /><Relationship Type="http://schemas.openxmlformats.org/officeDocument/2006/relationships/hyperlink" Id="rId47"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98" Target="https://github.com/jhudsl/ottrpal" TargetMode="External" /><Relationship Type="http://schemas.openxmlformats.org/officeDocument/2006/relationships/hyperlink" Id="rId99" Target="https://johnmuschelli.com/" TargetMode="External" /><Relationship Type="http://schemas.openxmlformats.org/officeDocument/2006/relationships/hyperlink" Id="rId63" Target="https://kiwidamien.github.io/what-is-tidy-data.html" TargetMode="External" /><Relationship Type="http://schemas.openxmlformats.org/officeDocument/2006/relationships/hyperlink" Id="rId48"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2" Target="https://vita.had.co.nz/papers/tidy-data.html" TargetMode="External" /><Relationship Type="http://schemas.openxmlformats.org/officeDocument/2006/relationships/hyperlink" Id="rId97" Target="https://www.avahoffman.com/" TargetMode="External" /><Relationship Type="http://schemas.openxmlformats.org/officeDocument/2006/relationships/hyperlink" Id="rId95" Target="https://www.cansavvy.com/" TargetMode="External" /><Relationship Type="http://schemas.openxmlformats.org/officeDocument/2006/relationships/hyperlink" Id="rId9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96" Target="https://carriewright11.github.io/" TargetMode="External" /><Relationship Type="http://schemas.openxmlformats.org/officeDocument/2006/relationships/hyperlink" Id="rId47"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98" Target="https://github.com/jhudsl/ottrpal" TargetMode="External" /><Relationship Type="http://schemas.openxmlformats.org/officeDocument/2006/relationships/hyperlink" Id="rId99" Target="https://johnmuschelli.com/" TargetMode="External" /><Relationship Type="http://schemas.openxmlformats.org/officeDocument/2006/relationships/hyperlink" Id="rId63" Target="https://kiwidamien.github.io/what-is-tidy-data.html" TargetMode="External" /><Relationship Type="http://schemas.openxmlformats.org/officeDocument/2006/relationships/hyperlink" Id="rId48"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2" Target="https://vita.had.co.nz/papers/tidy-data.html" TargetMode="External" /><Relationship Type="http://schemas.openxmlformats.org/officeDocument/2006/relationships/hyperlink" Id="rId97" Target="https://www.avahoffman.com/" TargetMode="External" /><Relationship Type="http://schemas.openxmlformats.org/officeDocument/2006/relationships/hyperlink" Id="rId95" Target="https://www.cansavvy.com/" TargetMode="External" /><Relationship Type="http://schemas.openxmlformats.org/officeDocument/2006/relationships/hyperlink" Id="rId9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 Season 3</dc:title>
  <dc:creator/>
  <dc:description/>
  <cp:keywords/>
  <dcterms:created xsi:type="dcterms:W3CDTF">2024-03-21T19:24:01Z</dcterms:created>
  <dcterms:modified xsi:type="dcterms:W3CDTF">2024-03-21T19:24:01Z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