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Changing a variable without realizing you did so.</w:t>
      </w:r>
    </w:p>
    <w:p>
      <w:pPr>
        <w:numPr>
          <w:ilvl w:val="0"/>
          <w:numId w:val="1010"/>
        </w:numPr>
      </w:pPr>
      <w:r>
        <w:t xml:space="preserve">The function or operation does not accept the input data type.</w:t>
      </w:r>
    </w:p>
    <w:p>
      <w:pPr>
        <w:numPr>
          <w:ilvl w:val="0"/>
          <w:numId w:val="1010"/>
        </w:numPr>
      </w:pPr>
      <w:r>
        <w:t xml:space="preserve">It did something else than I expected!</w:t>
      </w:r>
    </w:p>
    <w:p>
      <w:pPr>
        <w:pStyle w:val="FirstParagraph"/>
      </w:pPr>
      <w:r>
        <w:t xml:space="preserve">Solutions:</w:t>
      </w:r>
    </w:p>
    <w:p>
      <w:pPr>
        <w:numPr>
          <w:ilvl w:val="0"/>
          <w:numId w:val="1011"/>
        </w:numPr>
      </w:pPr>
      <w:r>
        <w:t xml:space="preserve">Where is the problem?</w:t>
      </w:r>
    </w:p>
    <w:p>
      <w:pPr>
        <w:numPr>
          <w:ilvl w:val="0"/>
          <w:numId w:val="1011"/>
        </w:numPr>
      </w:pPr>
      <w:r>
        <w:t xml:space="preserve">What kind of problem is it?</w:t>
      </w:r>
    </w:p>
    <w:p>
      <w:pPr>
        <w:numPr>
          <w:ilvl w:val="0"/>
          <w:numId w:val="1011"/>
        </w:numPr>
      </w:pPr>
      <w:r>
        <w:t xml:space="preserve">Explain your problem to someone!</w:t>
      </w:r>
    </w:p>
    <w:bookmarkEnd w:id="41"/>
    <w:bookmarkEnd w:id="42"/>
    <w:bookmarkStart w:id="53" w:name="w2-working-with-data-structures"/>
    <w:p>
      <w:pPr>
        <w:pStyle w:val="Heading1"/>
      </w:pPr>
      <w:r>
        <w:rPr>
          <w:rStyle w:val="SectionNumber"/>
        </w:rPr>
        <w:t xml:space="preserve">3</w:t>
      </w:r>
      <w:r>
        <w:tab/>
      </w:r>
      <w:r>
        <w:t xml:space="preserve">W2: 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2"/>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2"/>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3"/>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rPr>
          <w:bCs/>
          <w:b/>
        </w:rPr>
        <w:t xml:space="preserve">Execution rule for vector brackets</w:t>
      </w:r>
      <w:r>
        <w:t xml:space="preserve">:</w:t>
      </w:r>
    </w:p>
    <w:p>
      <w:pPr>
        <w:pStyle w:val="BodyText"/>
      </w:pPr>
      <w:r>
        <w:rPr>
          <w:iCs/>
          <w:i/>
        </w:rPr>
        <w:t xml:space="preserve">Evaluate the expression in the bracket first. The return value of the expression in the bracket, which must be a numeric or a numeric vector, dictates which elements of the vector to return.</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 TRUE indicating an element to keep, and FALSE 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4"/>
        </w:numPr>
      </w:pPr>
      <w:r>
        <w:rPr>
          <w:bCs/>
          <w:b/>
        </w:rPr>
        <w:t xml:space="preserve">Explicit subsetting</w:t>
      </w:r>
      <w:r>
        <w:t xml:space="preserve">: Suppose someone approaches you a 100-length vector of people’s ages, and say that they want to subset to the first 10 elements.</w:t>
      </w:r>
    </w:p>
    <w:p>
      <w:pPr>
        <w:numPr>
          <w:ilvl w:val="0"/>
          <w:numId w:val="1014"/>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"classroom_data/CCLE_metadata.csv"</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(cell lines) that are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brca_metadata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(brca_metadata)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5"/>
        </w:numPr>
      </w:pPr>
      <w:r>
        <w:t xml:space="preserve">We evaluate the expression right of</w:t>
      </w:r>
      <w:r>
        <w:t xml:space="preserve"> </w:t>
      </w:r>
      <w:r>
        <w:rPr>
          <w:rStyle w:val="VerbatimChar"/>
        </w:rPr>
        <w:t xml:space="preserve">=</w:t>
      </w:r>
      <w:r>
        <w:t xml:space="preserve">.</w:t>
      </w:r>
    </w:p>
    <w:p>
      <w:pPr>
        <w:numPr>
          <w:ilvl w:val="0"/>
          <w:numId w:val="1015"/>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5"/>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comparsion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6"/>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6"/>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5"/>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5"/>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7"/>
        </w:numPr>
      </w:pPr>
      <w:r>
        <w:t xml:space="preserve">We evaluate the expression right of</w:t>
      </w:r>
      <w:r>
        <w:t xml:space="preserve"> </w:t>
      </w:r>
      <w:r>
        <w:rPr>
          <w:rStyle w:val="VerbatimChar"/>
        </w:rPr>
        <w:t xml:space="preserve">=</w:t>
      </w:r>
      <w:r>
        <w:t xml:space="preserve">.</w:t>
      </w:r>
    </w:p>
    <w:p>
      <w:pPr>
        <w:numPr>
          <w:ilvl w:val="0"/>
          <w:numId w:val="1017"/>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7"/>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8"/>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7"/>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7"/>
        </w:numPr>
      </w:pPr>
      <w:r>
        <w:t xml:space="preserve">Store this in</w:t>
      </w:r>
      <w:r>
        <w:t xml:space="preserve"> </w:t>
      </w:r>
      <w:r>
        <w:rPr>
          <w:rStyle w:val="VerbatimChar"/>
        </w:rPr>
        <w:t xml:space="preserve">brca_metadata</w:t>
      </w:r>
      <w:r>
        <w:t xml:space="preserve"> </w:t>
      </w:r>
      <w:r>
        <w:t xml:space="preserve">variable.</w:t>
      </w:r>
    </w:p>
    <w:bookmarkEnd w:id="51"/>
    <w:bookmarkEnd w:id="52"/>
    <w:bookmarkEnd w:id="53"/>
    <w:bookmarkStart w:id="60"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r>
              <w:t xml:space="preserve">,</w:t>
            </w:r>
            <w:r>
              <w:t xml:space="preserve"> </w:t>
            </w:r>
            <w:hyperlink r:id="rId5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7">
              <w:r>
                <w:rPr>
                  <w:rStyle w:val="Hyperlink"/>
                </w:rPr>
                <w:t xml:space="preserve">Ava Hoffman</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8">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9">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Start w:id="61" w:name="references"/>
    <w:p>
      <w:pPr>
        <w:pStyle w:val="Heading1"/>
      </w:pPr>
      <w:r>
        <w:rPr>
          <w:rStyle w:val="SectionNumber"/>
        </w:rPr>
        <w:t xml:space="preserve">4</w:t>
      </w:r>
      <w:r>
        <w:tab/>
      </w:r>
      <w:r>
        <w:t xml:space="preserve">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2023-10-06T18:23:36Z</dcterms:created>
  <dcterms:modified xsi:type="dcterms:W3CDTF">2023-10-06T18:23:36Z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