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23.png" ContentType="image/png"/>
  <Override PartName="/word/media/rId125.png" ContentType="image/png"/>
  <Override PartName="/word/media/rId127.png" ContentType="image/png"/>
  <Override PartName="/word/media/rId108.png" ContentType="image/png"/>
  <Override PartName="/word/media/rId109.png" ContentType="image/png"/>
  <Override PartName="/word/media/rId111.png" ContentType="image/png"/>
  <Override PartName="/word/media/rId113.png" ContentType="image/png"/>
  <Override PartName="/word/media/rId115.png" ContentType="image/png"/>
  <Override PartName="/word/media/rId117.png" ContentType="image/png"/>
  <Override PartName="/word/media/rId119.png" ContentType="image/png"/>
  <Override PartName="/word/media/rId33.png" ContentType="image/png"/>
  <Override PartName="/word/media/rId23.png" ContentType="image/png"/>
  <Override PartName="/word/media/rId88.png" ContentType="image/png"/>
  <Override PartName="/word/media/rId103.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guaranteed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functions-and-pipes"/>
    <w:p>
      <w:pPr>
        <w:pStyle w:val="Heading1"/>
      </w:pPr>
      <w:r>
        <w:rPr>
          <w:rStyle w:val="SectionNumber"/>
        </w:rPr>
        <w:t xml:space="preserve">4</w:t>
      </w:r>
      <w:r>
        <w:tab/>
      </w:r>
      <w:r>
        <w:t xml:space="preserve">Functions and pipes</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my_dim(metadata) = c(1864,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101" w:name="data-wrangling-with-tidy-data"/>
    <w:p>
      <w:pPr>
        <w:pStyle w:val="Heading1"/>
      </w:pPr>
      <w:r>
        <w:rPr>
          <w:rStyle w:val="SectionNumber"/>
        </w:rPr>
        <w:t xml:space="preserve">5</w:t>
      </w:r>
      <w:r>
        <w:tab/>
      </w:r>
      <w:r>
        <w:t xml:space="preserve">Data wrangling with Tidy data</w:t>
      </w:r>
    </w:p>
    <w:bookmarkStart w:id="86" w:name="datasets-within-depmap-project"/>
    <w:p>
      <w:pPr>
        <w:pStyle w:val="Heading2"/>
      </w:pPr>
      <w:r>
        <w:rPr>
          <w:rStyle w:val="SectionNumber"/>
        </w:rPr>
        <w:t xml:space="preserve">5.1</w:t>
      </w:r>
      <w:r>
        <w:tab/>
      </w:r>
      <w:r>
        <w:t xml:space="preserve">Datasets within DepMap Project</w:t>
      </w:r>
    </w:p>
    <w:p>
      <w:pPr>
        <w:pStyle w:val="FirstParagraph"/>
      </w:pPr>
      <w:r>
        <w:t xml:space="preserve">The</w:t>
      </w:r>
      <w:r>
        <w:t xml:space="preserve"> </w:t>
      </w:r>
      <w:hyperlink r:id="rId8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w:t>
      </w:r>
    </w:p>
    <w:p>
      <w:pPr>
        <w:numPr>
          <w:ilvl w:val="0"/>
          <w:numId w:val="1024"/>
        </w:numPr>
      </w:pPr>
      <w:r>
        <w:t xml:space="preserve">Metadata</w:t>
      </w:r>
    </w:p>
    <w:p>
      <w:pPr>
        <w:numPr>
          <w:ilvl w:val="0"/>
          <w:numId w:val="1024"/>
        </w:numPr>
      </w:pPr>
      <w:r>
        <w:t xml:space="preserve">Somatic mutations</w:t>
      </w:r>
    </w:p>
    <w:p>
      <w:pPr>
        <w:numPr>
          <w:ilvl w:val="0"/>
          <w:numId w:val="1024"/>
        </w:numPr>
      </w:pPr>
      <w:r>
        <w:t xml:space="preserve">Gene expression</w:t>
      </w:r>
    </w:p>
    <w:p>
      <w:pPr>
        <w:numPr>
          <w:ilvl w:val="0"/>
          <w:numId w:val="1024"/>
        </w:numPr>
      </w:pPr>
      <w:r>
        <w:t xml:space="preserve">Drug sensitivity</w:t>
      </w:r>
    </w:p>
    <w:p>
      <w:pPr>
        <w:numPr>
          <w:ilvl w:val="0"/>
          <w:numId w:val="1024"/>
        </w:numPr>
      </w:pPr>
      <w:r>
        <w:t xml:space="preserve">CRISPR knockout</w:t>
      </w:r>
    </w:p>
    <w:p>
      <w:pPr>
        <w:numPr>
          <w:ilvl w:val="0"/>
          <w:numId w:val="1024"/>
        </w:numPr>
      </w:pPr>
      <w:r>
        <w:t xml:space="preserve">and more…</w:t>
      </w:r>
    </w:p>
    <w:bookmarkEnd w:id="86"/>
    <w:bookmarkStart w:id="87" w:name="data-science-workflow"/>
    <w:p>
      <w:pPr>
        <w:pStyle w:val="Heading2"/>
      </w:pPr>
      <w:r>
        <w:rPr>
          <w:rStyle w:val="SectionNumber"/>
        </w:rPr>
        <w:t xml:space="preserve">5.2</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87"/>
    <w:bookmarkStart w:id="91" w:name="describing-a-tidy-dataset"/>
    <w:p>
      <w:pPr>
        <w:pStyle w:val="Heading2"/>
      </w:pPr>
      <w:r>
        <w:rPr>
          <w:rStyle w:val="SectionNumber"/>
        </w:rPr>
        <w:t xml:space="preserve">5.3</w:t>
      </w:r>
      <w:r>
        <w:tab/>
      </w:r>
      <w:r>
        <w:t xml:space="preserve">Describing a tidy dataset</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5"/>
        </w:numPr>
      </w:pPr>
      <w:r>
        <w:t xml:space="preserve">Each variable is a column; each column is a variable.</w:t>
      </w:r>
    </w:p>
    <w:p>
      <w:pPr>
        <w:numPr>
          <w:ilvl w:val="0"/>
          <w:numId w:val="1025"/>
        </w:numPr>
      </w:pPr>
      <w:r>
        <w:t xml:space="preserve">Each observation is a row; each row is an observation.</w:t>
      </w:r>
    </w:p>
    <w:p>
      <w:pPr>
        <w:numPr>
          <w:ilvl w:val="0"/>
          <w:numId w:val="1025"/>
        </w:numPr>
      </w:pPr>
      <w:r>
        <w:t xml:space="preserve">Each value is a cell; each cell is a single value.</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88"/>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89" w:name="fig12"/>
      <w:r>
        <w:t xml:space="preserve">Figure </w:t>
      </w:r>
      <w:fldSimple w:instr="SEQ Figure \* ARABIC ">
        <w:r>
          <w:t>12</w:t>
        </w:r>
      </w:fldSimple>
      <w:r>
        <w:t xml:space="preserve">:</w:t>
      </w:r>
      <w:r>
        <w:t xml:space="preserve"> </w:t>
      </w:r>
      <w:bookmarkEnd w:id="89"/>
      <w:r>
        <w:t xml:space="preserve">A tidy dataframe.</w:t>
      </w:r>
    </w:p>
    <w:bookmarkStart w:id="90" w:name="examples-of-tidy-data"/>
    <w:p>
      <w:pPr>
        <w:pStyle w:val="Heading3"/>
      </w:pPr>
      <w:r>
        <w:rPr>
          <w:rStyle w:val="SectionNumber"/>
        </w:rPr>
        <w:t xml:space="preserve">5.3.1</w:t>
      </w:r>
      <w:r>
        <w:tab/>
      </w:r>
      <w:r>
        <w:t xml:space="preserve">Examples of Tidy data</w:t>
      </w:r>
    </w:p>
    <w:p>
      <w:pPr>
        <w:pStyle w:val="FirstParagraph"/>
      </w:pPr>
      <w:r>
        <w:t xml:space="preserve">Let’s practice describing the observations, variables, and values of tidy dataframes: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"https://github.com/caalo/Intro_to_R/raw/main/classroom_data/CCLE.RData"</w:t>
      </w:r>
      <w:r>
        <w:rPr>
          <w:rStyle w:val="NormalTok"/>
        </w:rPr>
        <w:t xml:space="preserve">))</w:t>
      </w: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r>
        <w:tc>
          <w:tcPr/>
          <w:p>
            <w:pPr>
              <w:pStyle w:val="Compact"/>
              <w:jc w:val="left"/>
            </w:pPr>
            <w:r>
              <w:t xml:space="preserve">penguins</w:t>
            </w:r>
          </w:p>
        </w:tc>
        <w:tc>
          <w:tcPr/>
          <w:p>
            <w:pPr>
              <w:pStyle w:val="Compact"/>
            </w:pPr>
          </w:p>
        </w:tc>
        <w:tc>
          <w:tcPr/>
          <w:p>
            <w:pPr>
              <w:pStyle w:val="Compact"/>
            </w:pPr>
          </w:p>
        </w:tc>
        <w:tc>
          <w:tcPr/>
          <w:p>
            <w:pPr>
              <w:pStyle w:val="Compact"/>
            </w:pPr>
          </w:p>
        </w:tc>
      </w:tr>
      <w:tr>
        <w:tc>
          <w:tcPr/>
          <w:p>
            <w:pPr>
              <w:pStyle w:val="Compact"/>
              <w:jc w:val="left"/>
            </w:pPr>
            <w:r>
              <w:t xml:space="preserve">table1</w:t>
            </w:r>
          </w:p>
        </w:tc>
        <w:tc>
          <w:tcPr/>
          <w:p>
            <w:pPr>
              <w:pStyle w:val="Compact"/>
            </w:pPr>
          </w:p>
        </w:tc>
        <w:tc>
          <w:tcPr/>
          <w:p>
            <w:pPr>
              <w:pStyle w:val="Compact"/>
            </w:pPr>
          </w:p>
        </w:tc>
        <w:tc>
          <w:tcPr/>
          <w:p>
            <w:pPr>
              <w:pStyle w:val="Compact"/>
            </w:pPr>
          </w:p>
        </w:tc>
      </w:tr>
    </w:tbl>
    <w:bookmarkEnd w:id="90"/>
    <w:bookmarkEnd w:id="91"/>
    <w:bookmarkStart w:id="97" w:name="transform"/>
    <w:p>
      <w:pPr>
        <w:pStyle w:val="Heading2"/>
      </w:pPr>
      <w:r>
        <w:rPr>
          <w:rStyle w:val="SectionNumber"/>
        </w:rPr>
        <w:t xml:space="preserve">5.4</w:t>
      </w:r>
      <w:r>
        <w:tab/>
      </w:r>
      <w:r>
        <w:t xml:space="preserve">Transform</w:t>
      </w:r>
    </w:p>
    <w:p>
      <w:pPr>
        <w:pStyle w:val="FirstParagraph"/>
      </w:pPr>
      <w:r>
        <w:t xml:space="preserve">When given a tidy dataset, we often still have to do some transformations on it to get it in a form so that we can perform our analysis and visualization. Here are some common transformation tasks:</w:t>
      </w:r>
    </w:p>
    <w:bookmarkStart w:id="92" w:name="X63fb88764bcf027eec2a49c106e423501675742"/>
    <w:p>
      <w:pPr>
        <w:pStyle w:val="Heading3"/>
      </w:pPr>
      <w:r>
        <w:rPr>
          <w:rStyle w:val="SectionNumber"/>
        </w:rPr>
        <w:t xml:space="preserve">5.4.1</w:t>
      </w:r>
      <w:r>
        <w:tab/>
      </w:r>
      <w:r>
        <w:t xml:space="preserve">“</w:t>
      </w:r>
      <w:r>
        <w:t xml:space="preserve">The rows and columns I need can be subsetted from the dataframe.</w:t>
      </w:r>
      <w:r>
        <w:t xml:space="preserve">”</w:t>
      </w:r>
    </w:p>
    <w:p>
      <w:pPr>
        <w:pStyle w:val="FirstParagraph"/>
      </w:pPr>
      <w:r>
        <w:t xml:space="preserve">We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as we have learned already.</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w:t>
      </w:r>
    </w:p>
    <w:bookmarkEnd w:id="92"/>
    <w:bookmarkStart w:id="93" w:name="X6bc44d529ba916596f1e8fcdf270cd9e01c9224"/>
    <w:p>
      <w:pPr>
        <w:pStyle w:val="Heading3"/>
      </w:pPr>
      <w:r>
        <w:rPr>
          <w:rStyle w:val="SectionNumber"/>
        </w:rPr>
        <w:t xml:space="preserve">5.4.2</w:t>
      </w:r>
      <w:r>
        <w:tab/>
      </w:r>
      <w:r>
        <w:t xml:space="preserve">“</w:t>
      </w:r>
      <w:r>
        <w:t xml:space="preserve">The column I want is an operation or function of other columns I already have in the dataframe.</w:t>
      </w:r>
      <w:r>
        <w:t xml:space="preserve">”</w:t>
      </w:r>
    </w:p>
    <w:p>
      <w:pPr>
        <w:pStyle w:val="FirstParagraph"/>
      </w:pPr>
      <w:r>
        <w:t xml:space="preserve">We use</w:t>
      </w:r>
      <w:r>
        <w:t xml:space="preserve"> </w:t>
      </w:r>
      <w:r>
        <w:rPr>
          <w:rStyle w:val="VerbatimChar"/>
        </w:rPr>
        <w:t xml:space="preserve">mutate()</w:t>
      </w:r>
      <w:r>
        <w:t xml:space="preserve"> </w:t>
      </w:r>
      <w:r>
        <w:t xml:space="preserve">or</w:t>
      </w:r>
      <w:r>
        <w:t xml:space="preserve"> </w:t>
      </w:r>
      <w:r>
        <w:rPr>
          <w:rStyle w:val="VerbatimChar"/>
        </w:rPr>
        <w:t xml:space="preserve">$</w:t>
      </w:r>
      <w:r>
        <w:t xml:space="preserve"> </w:t>
      </w:r>
      <w:r>
        <w:t xml:space="preserve">operation as we have learned already.</w:t>
      </w:r>
    </w:p>
    <w:p>
      <w:pPr>
        <w:pStyle w:val="SourceCode"/>
      </w:pPr>
      <w:r>
        <w:rPr>
          <w:rStyle w:val="NormalTok"/>
        </w:rPr>
        <w:t xml:space="preserve">expression </w:t>
      </w:r>
      <w:r>
        <w:rPr>
          <w:rStyle w:val="OtherTok"/>
        </w:rPr>
        <w:t xml:space="preserve">=</w:t>
      </w:r>
      <w:r>
        <w:rPr>
          <w:rStyle w:val="NormalTok"/>
        </w:rPr>
        <w:t xml:space="preserve"> expression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log_PIK3CA_Exp =</w:t>
      </w:r>
      <w:r>
        <w:rPr>
          <w:rStyle w:val="NormalTok"/>
        </w:rPr>
        <w:t xml:space="preserve"> </w:t>
      </w:r>
      <w:r>
        <w:rPr>
          <w:rStyle w:val="FunctionTok"/>
        </w:rPr>
        <w:t xml:space="preserve">log</w:t>
      </w:r>
      <w:r>
        <w:rPr>
          <w:rStyle w:val="NormalTok"/>
        </w:rPr>
        <w:t xml:space="preserve">(PIK3CA_Exp))</w:t>
      </w:r>
      <w:r>
        <w:br/>
      </w:r>
      <w:r>
        <w:rPr>
          <w:rStyle w:val="CommentTok"/>
        </w:rPr>
        <w:t xml:space="preserve">#or</w:t>
      </w:r>
      <w:r>
        <w:br/>
      </w:r>
      <w:r>
        <w:rPr>
          <w:rStyle w:val="NormalTok"/>
        </w:rPr>
        <w:t xml:space="preserve">expression</w:t>
      </w:r>
      <w:r>
        <w:rPr>
          <w:rStyle w:val="SpecialCharTok"/>
        </w:rPr>
        <w:t xml:space="preserve">$</w:t>
      </w:r>
      <w:r>
        <w:rPr>
          <w:rStyle w:val="NormalTok"/>
        </w:rPr>
        <w:t xml:space="preserve">log_PIK3CA_Exp </w:t>
      </w:r>
      <w:r>
        <w:rPr>
          <w:rStyle w:val="OtherTok"/>
        </w:rPr>
        <w:t xml:space="preserve">=</w:t>
      </w:r>
      <w:r>
        <w:rPr>
          <w:rStyle w:val="NormalTok"/>
        </w:rPr>
        <w:t xml:space="preserve"> </w:t>
      </w:r>
      <w:r>
        <w:rPr>
          <w:rStyle w:val="FunctionTok"/>
        </w:rPr>
        <w:t xml:space="preserve">log</w:t>
      </w:r>
      <w:r>
        <w:rPr>
          <w:rStyle w:val="NormalTok"/>
        </w:rPr>
        <w:t xml:space="preserve">(expression</w:t>
      </w:r>
      <w:r>
        <w:rPr>
          <w:rStyle w:val="SpecialCharTok"/>
        </w:rPr>
        <w:t xml:space="preserve">$</w:t>
      </w:r>
      <w:r>
        <w:rPr>
          <w:rStyle w:val="NormalTok"/>
        </w:rPr>
        <w:t xml:space="preserve">PIK3CA_Exp)</w:t>
      </w:r>
    </w:p>
    <w:bookmarkEnd w:id="93"/>
    <w:bookmarkStart w:id="95" w:name="Xf2ac94a5dbc93ac5c72aedaa062238d11e44e5a"/>
    <w:p>
      <w:pPr>
        <w:pStyle w:val="Heading3"/>
      </w:pPr>
      <w:r>
        <w:rPr>
          <w:rStyle w:val="SectionNumber"/>
        </w:rPr>
        <w:t xml:space="preserve">5.4.3</w:t>
      </w:r>
      <w:r>
        <w:tab/>
      </w:r>
      <w:r>
        <w:t xml:space="preserve">“</w:t>
      </w:r>
      <w:r>
        <w:t xml:space="preserve">The columns that I need are in two different dataframes with a common column. The rows (observations) of both dataframes represent the same thing.</w:t>
      </w:r>
      <w:r>
        <w:t xml:space="preserve">”</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537</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566</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9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6"/>
        </w:numPr>
      </w:pPr>
      <w:r>
        <w:rPr>
          <w:rStyle w:val="VerbatimChar"/>
        </w:rPr>
        <w:t xml:space="preserve">full_join()</w:t>
      </w:r>
      <w:r>
        <w:t xml:space="preserve"> </w:t>
      </w:r>
      <w:r>
        <w:t xml:space="preserve">keeps all observations.</w:t>
      </w:r>
    </w:p>
    <w:p>
      <w:pPr>
        <w:numPr>
          <w:ilvl w:val="0"/>
          <w:numId w:val="1026"/>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6"/>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6"/>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6" w:name="Xda1259959fbe75097abadcc02ce7d1bb9f50590"/>
    <w:p>
      <w:pPr>
        <w:pStyle w:val="Heading3"/>
      </w:pPr>
      <w:r>
        <w:rPr>
          <w:rStyle w:val="SectionNumber"/>
        </w:rPr>
        <w:t xml:space="preserve">5.4.4</w:t>
      </w:r>
      <w:r>
        <w:tab/>
      </w:r>
      <w:r>
        <w:t xml:space="preserve">“</w:t>
      </w:r>
      <w:r>
        <w:t xml:space="preserve">The rows I want is described by a column. The columns I want need to be summarized from other columns.</w:t>
      </w:r>
      <w:r>
        <w:t xml:space="preserve">”</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 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BodyText"/>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bookmarkEnd w:id="96"/>
    <w:bookmarkEnd w:id="97"/>
    <w:bookmarkStart w:id="100" w:name="tidy-data-tutor"/>
    <w:p>
      <w:pPr>
        <w:pStyle w:val="Heading2"/>
      </w:pPr>
      <w:r>
        <w:rPr>
          <w:rStyle w:val="SectionNumber"/>
        </w:rPr>
        <w:t xml:space="preserve">5.5</w:t>
      </w:r>
      <w:r>
        <w:tab/>
      </w:r>
      <w:r>
        <w:t xml:space="preserve">Tidy Data Tutor</w:t>
      </w:r>
    </w:p>
    <w:p>
      <w:pPr>
        <w:pStyle w:val="FirstParagraph"/>
      </w:pPr>
      <w:r>
        <w:t xml:space="preserve">Guest speaker:</w:t>
      </w:r>
      <w:r>
        <w:t xml:space="preserve"> </w:t>
      </w:r>
      <w:hyperlink r:id="rId98">
        <w:r>
          <w:rPr>
            <w:rStyle w:val="Hyperlink"/>
          </w:rPr>
          <w:t xml:space="preserve">Sean Kross</w:t>
        </w:r>
      </w:hyperlink>
      <w:r>
        <w:t xml:space="preserve">, author of</w:t>
      </w:r>
      <w:r>
        <w:t xml:space="preserve"> </w:t>
      </w:r>
      <w:hyperlink r:id="rId99">
        <w:r>
          <w:rPr>
            <w:rStyle w:val="Hyperlink"/>
          </w:rPr>
          <w:t xml:space="preserve">Tidy Data Tutor</w:t>
        </w:r>
      </w:hyperlink>
      <w:r>
        <w:t xml:space="preserve">.</w:t>
      </w:r>
    </w:p>
    <w:bookmarkEnd w:id="100"/>
    <w:bookmarkEnd w:id="101"/>
    <w:bookmarkStart w:id="131" w:name="data-visualization"/>
    <w:p>
      <w:pPr>
        <w:pStyle w:val="Heading1"/>
      </w:pPr>
      <w:r>
        <w:rPr>
          <w:rStyle w:val="SectionNumber"/>
        </w:rPr>
        <w:t xml:space="preserve">6</w:t>
      </w:r>
      <w:r>
        <w:tab/>
      </w:r>
      <w:r>
        <w:t xml:space="preserve">Data Visualization</w:t>
      </w:r>
    </w:p>
    <w:bookmarkStart w:id="107" w:name="common-plots"/>
    <w:p>
      <w:pPr>
        <w:pStyle w:val="Heading2"/>
      </w:pPr>
      <w:r>
        <w:rPr>
          <w:rStyle w:val="SectionNumber"/>
        </w:rPr>
        <w:t xml:space="preserve">6.1</w:t>
      </w:r>
      <w:r>
        <w:tab/>
      </w:r>
      <w:r>
        <w:t xml:space="preserve">Common Plots</w:t>
      </w:r>
    </w:p>
    <w:bookmarkStart w:id="102" w:name="univariate"/>
    <w:p>
      <w:pPr>
        <w:pStyle w:val="Heading3"/>
      </w:pPr>
      <w:r>
        <w:rPr>
          <w:rStyle w:val="SectionNumber"/>
        </w:rPr>
        <w:t xml:space="preserve">6.1.1</w:t>
      </w:r>
      <w:r>
        <w:tab/>
      </w:r>
      <w:r>
        <w:t xml:space="preserve">Univariate</w:t>
      </w:r>
    </w:p>
    <w:p>
      <w:pPr>
        <w:numPr>
          <w:ilvl w:val="0"/>
          <w:numId w:val="1027"/>
        </w:numPr>
      </w:pPr>
      <w:r>
        <w:t xml:space="preserve">Numeric: histogram</w:t>
      </w:r>
    </w:p>
    <w:p>
      <w:pPr>
        <w:numPr>
          <w:ilvl w:val="0"/>
          <w:numId w:val="1027"/>
        </w:numPr>
      </w:pPr>
      <w:r>
        <w:t xml:space="preserve">Character: bar plots</w:t>
      </w:r>
    </w:p>
    <w:bookmarkEnd w:id="102"/>
    <w:bookmarkStart w:id="106" w:name="bivariate"/>
    <w:p>
      <w:pPr>
        <w:pStyle w:val="Heading3"/>
      </w:pPr>
      <w:r>
        <w:rPr>
          <w:rStyle w:val="SectionNumber"/>
        </w:rPr>
        <w:t xml:space="preserve">6.1.2</w:t>
      </w:r>
      <w:r>
        <w:tab/>
      </w:r>
      <w:r>
        <w:t xml:space="preserve">Bivariate</w:t>
      </w:r>
    </w:p>
    <w:p>
      <w:pPr>
        <w:numPr>
          <w:ilvl w:val="0"/>
          <w:numId w:val="1028"/>
        </w:numPr>
      </w:pPr>
      <w:r>
        <w:t xml:space="preserve">Numeric vs. Numeric: Scatterplot, line plot</w:t>
      </w:r>
    </w:p>
    <w:p>
      <w:pPr>
        <w:numPr>
          <w:ilvl w:val="0"/>
          <w:numId w:val="1028"/>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10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104" w:name="fig13"/>
      <w:r>
        <w:t xml:space="preserve">Figure </w:t>
      </w:r>
      <w:fldSimple w:instr="SEQ Figure \* ARABIC ">
        <w:r>
          <w:t>13</w:t>
        </w:r>
      </w:fldSimple>
      <w:r>
        <w:t xml:space="preserve">:</w:t>
      </w:r>
      <w:r>
        <w:t xml:space="preserve"> </w:t>
      </w:r>
      <w:bookmarkEnd w:id="104"/>
      <w:r>
        <w:t xml:space="preserve">Source:</w:t>
      </w:r>
      <w:r>
        <w:t xml:space="preserve"> </w:t>
      </w:r>
      <w:hyperlink r:id="rId105">
        <w:r>
          <w:rPr>
            <w:rStyle w:val="Hyperlink"/>
          </w:rPr>
          <w:t xml:space="preserve">https://www.oreilly.com/library/view/visualization-analysis-and/9781466508910/K14708_C005.xhtml</w:t>
        </w:r>
      </w:hyperlink>
    </w:p>
    <w:bookmarkEnd w:id="106"/>
    <w:bookmarkEnd w:id="107"/>
    <w:bookmarkStart w:id="129"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10"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2"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0"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2"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4"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26"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28"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End w:id="129"/>
    <w:bookmarkStart w:id="130"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bookmarkEnd w:id="130"/>
    <w:bookmarkEnd w:id="131"/>
    <w:bookmarkStart w:id="138" w:name="about-the-authors"/>
    <w:p>
      <w:pPr>
        <w:pStyle w:val="Heading1"/>
      </w:pPr>
      <w:r>
        <w:t xml:space="preserve">About the Authors</w:t>
      </w:r>
    </w:p>
    <w:p>
      <w:pPr>
        <w:pStyle w:val="FirstParagraph"/>
      </w:pPr>
      <w:r>
        <w:t xml:space="preserve">These credits are based on our</w:t>
      </w:r>
      <w:r>
        <w:t xml:space="preserve"> </w:t>
      </w:r>
      <w:hyperlink r:id="rId13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3">
              <w:r>
                <w:rPr>
                  <w:rStyle w:val="Hyperlink"/>
                </w:rPr>
                <w:t xml:space="preserve">Candace Savonen</w:t>
              </w:r>
            </w:hyperlink>
            <w:r>
              <w:t xml:space="preserve">,</w:t>
            </w:r>
            <w:r>
              <w:t xml:space="preserve"> </w:t>
            </w:r>
            <w:hyperlink r:id="rId134">
              <w:r>
                <w:rPr>
                  <w:rStyle w:val="Hyperlink"/>
                </w:rPr>
                <w:t xml:space="preserve">Carrie Wright</w:t>
              </w:r>
            </w:hyperlink>
            <w:r>
              <w:t xml:space="preserve">,</w:t>
            </w:r>
            <w:r>
              <w:t xml:space="preserve"> </w:t>
            </w:r>
            <w:hyperlink r:id="rId13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4">
              <w:r>
                <w:rPr>
                  <w:rStyle w:val="Hyperlink"/>
                </w:rPr>
                <w:t xml:space="preserve">Carrie Wright</w:t>
              </w:r>
            </w:hyperlink>
            <w:r>
              <w:t xml:space="preserve">,</w:t>
            </w:r>
            <w:r>
              <w:t xml:space="preserve"> </w:t>
            </w:r>
            <w:hyperlink r:id="rId135">
              <w:r>
                <w:rPr>
                  <w:rStyle w:val="Hyperlink"/>
                </w:rPr>
                <w:t xml:space="preserve">Ava Hoffman</w:t>
              </w:r>
            </w:hyperlink>
            <w:r>
              <w:t xml:space="preserve">,</w:t>
            </w:r>
            <w:r>
              <w:t xml:space="preserve"> </w:t>
            </w:r>
            <w:hyperlink r:id="rId133">
              <w:r>
                <w:rPr>
                  <w:rStyle w:val="Hyperlink"/>
                </w:rPr>
                <w:t xml:space="preserve">Candace Savonen</w:t>
              </w:r>
            </w:hyperlink>
          </w:p>
        </w:tc>
      </w:tr>
      <w:tr>
        <w:tc>
          <w:tcPr/>
          <w:p>
            <w:pPr>
              <w:pStyle w:val="Compact"/>
              <w:jc w:val="left"/>
            </w:pPr>
            <w:r>
              <w:t xml:space="preserve">Package Developers (</w:t>
            </w:r>
            <w:hyperlink r:id="rId136">
              <w:r>
                <w:rPr>
                  <w:rStyle w:val="Hyperlink"/>
                </w:rPr>
                <w:t xml:space="preserve">ottrpal</w:t>
              </w:r>
            </w:hyperlink>
            <w:r>
              <w:t xml:space="preserve">)</w:t>
            </w:r>
            <w:r>
              <w:t xml:space="preserve"> </w:t>
            </w:r>
            <w:hyperlink r:id="rId133">
              <w:r>
                <w:rPr>
                  <w:rStyle w:val="Hyperlink"/>
                </w:rPr>
                <w:t xml:space="preserve">Candace Savonen</w:t>
              </w:r>
            </w:hyperlink>
            <w:r>
              <w:t xml:space="preserve">,</w:t>
            </w:r>
            <w:r>
              <w:t xml:space="preserve"> </w:t>
            </w:r>
            <w:hyperlink r:id="rId137">
              <w:r>
                <w:rPr>
                  <w:rStyle w:val="Hyperlink"/>
                </w:rPr>
                <w:t xml:space="preserve">John Muschelli</w:t>
              </w:r>
            </w:hyperlink>
            <w:r>
              <w:t xml:space="preserve">,</w:t>
            </w:r>
            <w:r>
              <w:t xml:space="preserve"> </w:t>
            </w:r>
            <w:hyperlink r:id="rId13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8"/>
    <w:bookmarkStart w:id="139" w:name="references"/>
    <w:p>
      <w:pPr>
        <w:pStyle w:val="Heading1"/>
      </w:pPr>
      <w:r>
        <w:rPr>
          <w:rStyle w:val="SectionNumber"/>
        </w:rPr>
        <w:t xml:space="preserve">7</w:t>
      </w:r>
      <w:r>
        <w:tab/>
      </w:r>
      <w:r>
        <w:t xml:space="preserve">References</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88" Target="media/rId88.png" /><Relationship Type="http://schemas.openxmlformats.org/officeDocument/2006/relationships/image" Id="rId103" Target="media/rId103.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hyperlink" Id="rId13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6" Target="https://github.com/jhudsl/ottrpal" TargetMode="External" /><Relationship Type="http://schemas.openxmlformats.org/officeDocument/2006/relationships/hyperlink" Id="rId13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3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3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6" Target="https://github.com/jhudsl/ottrpal" TargetMode="External" /><Relationship Type="http://schemas.openxmlformats.org/officeDocument/2006/relationships/hyperlink" Id="rId13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3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2023-10-27T18:10:18Z</dcterms:created>
  <dcterms:modified xsi:type="dcterms:W3CDTF">2023-10-27T18:10:18Z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