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Muschelli</w:t>
      </w:r>
    </w:p>
    <w:p>
      <w:pPr>
        <w:pStyle w:val="Date"/>
      </w:pPr>
      <w:r>
        <w:t xml:space="preserve">8/10/2017</w:t>
      </w:r>
    </w:p>
    <w:p>
      <w:pPr>
        <w:pStyle w:val="FirstParagraph"/>
      </w:pPr>
      <w:r>
        <w:t xml:space="preserve">I think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parameter needs to be set better in the model: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α</m:t>
          </m:r>
          <m:r>
            <m:t>ϕ</m:t>
          </m:r>
        </m:oMath>
      </m:oMathPara>
    </w:p>
    <w:p>
      <w:pPr>
        <w:pStyle w:val="FirstParagraph"/>
      </w:pPr>
      <w:r>
        <w:t xml:space="preserve">I think the paper by</w:t>
      </w:r>
      <w:r>
        <w:t xml:space="preserve"> </w:t>
      </w:r>
      <w:r>
        <w:t xml:space="preserve">Eloyan and Ghosh (2013)</w:t>
      </w:r>
      <w:r>
        <w:t xml:space="preserve"> </w:t>
      </w:r>
      <w:r>
        <w:t xml:space="preserve">is awesome!</w:t>
      </w:r>
      <w:r>
        <w:t xml:space="preserve"> </w:t>
      </w:r>
      <w:r>
        <w:t xml:space="preserve">I like to cite it by</w:t>
      </w:r>
      <w:r>
        <w:t xml:space="preserve"> </w:t>
      </w:r>
      <w:r>
        <w:t xml:space="preserve">(Eloyan and Ghosh 2013)</w:t>
      </w:r>
      <w:r>
        <w:t xml:space="preserve">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The mean distance of each car is 42.98 miles.</w:t>
      </w:r>
    </w:p>
    <w:p>
      <w:pPr>
        <w:pStyle w:val="BodyText"/>
      </w:pPr>
      <w:r>
        <w:t xml:space="preserve">The equation was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α</m:t>
                </m:r>
                <m:r>
                  <m:t>+</m:t>
                </m:r>
                <m:r>
                  <m:t>β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γ</m:t>
                </m:r>
                <m:r>
                  <m:t>+</m:t>
                </m:r>
                <m:r>
                  <m:t>β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 w:type="textWrapping"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conf_int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37.812739</w:t>
            </w:r>
          </w:p>
        </w:tc>
        <w:tc>
          <w:p>
            <w:pPr>
              <w:pStyle w:val="Compact"/>
              <w:jc w:val="right"/>
            </w:pPr>
            <w:r>
              <w:t xml:space="preserve">2.0540223</w:t>
            </w:r>
          </w:p>
        </w:tc>
        <w:tc>
          <w:p>
            <w:pPr>
              <w:pStyle w:val="Compact"/>
              <w:jc w:val="right"/>
            </w:pPr>
            <w:r>
              <w:t xml:space="preserve">18.409118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-2.625023</w:t>
            </w:r>
          </w:p>
        </w:tc>
        <w:tc>
          <w:p>
            <w:pPr>
              <w:pStyle w:val="Compact"/>
              <w:jc w:val="right"/>
            </w:pPr>
            <w:r>
              <w:t xml:space="preserve">0.3755924</w:t>
            </w:r>
          </w:p>
        </w:tc>
        <w:tc>
          <w:p>
            <w:pPr>
              <w:pStyle w:val="Compact"/>
              <w:jc w:val="right"/>
            </w:pPr>
            <w:r>
              <w:t xml:space="preserve">-6.989020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right"/>
            </w:pPr>
            <w:r>
              <w:t xml:space="preserve">-0.526146</w:t>
            </w:r>
          </w:p>
        </w:tc>
        <w:tc>
          <w:p>
            <w:pPr>
              <w:pStyle w:val="Compact"/>
              <w:jc w:val="right"/>
            </w:pPr>
            <w:r>
              <w:t xml:space="preserve">0.4152914</w:t>
            </w:r>
          </w:p>
        </w:tc>
        <w:tc>
          <w:p>
            <w:pPr>
              <w:pStyle w:val="Compact"/>
              <w:jc w:val="right"/>
            </w:pPr>
            <w:r>
              <w:t xml:space="preserve">-1.266932</w:t>
            </w:r>
          </w:p>
        </w:tc>
        <w:tc>
          <w:p>
            <w:pPr>
              <w:pStyle w:val="Compact"/>
              <w:jc w:val="right"/>
            </w:pPr>
            <w:r>
              <w:t xml:space="preserve">0.2152603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DT::datatable(tab)</w:t>
      </w:r>
      <w:r>
        <w:br w:type="textWrapping"/>
      </w: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(tab)</w:t>
      </w:r>
    </w:p>
    <w:tbl>
      <w:tblPr>
        <w:tblStyle w:val="TableNormal"/>
        <w:tblW w:type="pct" w:w="3888.8888888888882"/>
        <w:tblLook w:firstRow="1"/>
      </w:tblPr>
      <w:tblGrid>
        <w:gridCol w:w="1320"/>
        <w:gridCol w:w="1210"/>
        <w:gridCol w:w="132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37.81</w:t>
            </w:r>
          </w:p>
        </w:tc>
        <w:tc>
          <w:p>
            <w:pPr>
              <w:pStyle w:val="Compact"/>
              <w:jc w:val="center"/>
            </w:pPr>
            <w:r>
              <w:t xml:space="preserve">2.054</w:t>
            </w:r>
          </w:p>
        </w:tc>
        <w:tc>
          <w:p>
            <w:pPr>
              <w:pStyle w:val="Compact"/>
              <w:jc w:val="center"/>
            </w:pPr>
            <w:r>
              <w:t xml:space="preserve">18.41</w:t>
            </w:r>
          </w:p>
        </w:tc>
        <w:tc>
          <w:p>
            <w:pPr>
              <w:pStyle w:val="Compact"/>
              <w:jc w:val="center"/>
            </w:pPr>
            <w:r>
              <w:t xml:space="preserve">1.532e-17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-2.625</w:t>
            </w:r>
          </w:p>
        </w:tc>
        <w:tc>
          <w:p>
            <w:pPr>
              <w:pStyle w:val="Compact"/>
              <w:jc w:val="center"/>
            </w:pPr>
            <w:r>
              <w:t xml:space="preserve">0.3756</w:t>
            </w:r>
          </w:p>
        </w:tc>
        <w:tc>
          <w:p>
            <w:pPr>
              <w:pStyle w:val="Compact"/>
              <w:jc w:val="center"/>
            </w:pPr>
            <w:r>
              <w:t xml:space="preserve">-6.989</w:t>
            </w:r>
          </w:p>
        </w:tc>
        <w:tc>
          <w:p>
            <w:pPr>
              <w:pStyle w:val="Compact"/>
              <w:jc w:val="center"/>
            </w:pPr>
            <w:r>
              <w:t xml:space="preserve">1.102e-07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-0.5261</w:t>
            </w:r>
          </w:p>
        </w:tc>
        <w:tc>
          <w:p>
            <w:pPr>
              <w:pStyle w:val="Compact"/>
              <w:jc w:val="center"/>
            </w:pPr>
            <w:r>
              <w:t xml:space="preserve">0.4153</w:t>
            </w:r>
          </w:p>
        </w:tc>
        <w:tc>
          <w:p>
            <w:pPr>
              <w:pStyle w:val="Compact"/>
              <w:jc w:val="center"/>
            </w:pPr>
            <w:r>
              <w:t xml:space="preserve">-1.267</w:t>
            </w:r>
          </w:p>
        </w:tc>
        <w:tc>
          <w:p>
            <w:pPr>
              <w:pStyle w:val="Compact"/>
              <w:jc w:val="center"/>
            </w:pPr>
            <w:r>
              <w:t xml:space="preserve">0.2153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st_document_ev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Eloyan, Ani, and Sujit K Ghosh. 2013. “A Semiparametric Approach to Source Separation Using Independent Component Analysis.”</w:t>
      </w:r>
      <w:r>
        <w:t xml:space="preserve"> </w:t>
      </w:r>
      <w:r>
        <w:rPr>
          <w:i/>
        </w:rPr>
        <w:t xml:space="preserve">Computational Statistics &amp; Data Analysis</w:t>
      </w:r>
      <w:r>
        <w:t xml:space="preserve"> </w:t>
      </w:r>
      <w:r>
        <w:t xml:space="preserve">58. Elsevier: 383–96.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cb7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John Muschelli</dc:creator>
  <dcterms:created xsi:type="dcterms:W3CDTF">2017-08-10T20:57:45Z</dcterms:created>
  <dcterms:modified xsi:type="dcterms:W3CDTF">2017-08-10T20:57:45Z</dcterms:modified>
</cp:coreProperties>
</file>