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Informatics</w:t>
      </w:r>
      <w:r>
        <w:t xml:space="preserve"> </w:t>
      </w:r>
      <w:r>
        <w:t xml:space="preserve">Technology</w:t>
      </w:r>
      <w:r>
        <w:t xml:space="preserve"> </w:t>
      </w:r>
      <w:r>
        <w:t xml:space="preserve">for</w:t>
      </w:r>
      <w:r>
        <w:t xml:space="preserve"> </w:t>
      </w:r>
      <w:r>
        <w:t xml:space="preserve">Cancer</w:t>
      </w:r>
      <w:r>
        <w:t xml:space="preserve"> </w:t>
      </w:r>
      <w:r>
        <w:t xml:space="preserve">Research</w:t>
      </w:r>
      <w:r>
        <w:t xml:space="preserve"> </w:t>
      </w:r>
      <w:r>
        <w:t xml:space="preserve">(ITCR):</w:t>
      </w:r>
      <w:r>
        <w:t xml:space="preserve"> </w:t>
      </w:r>
      <w:r>
        <w:t xml:space="preserve">Bench</w:t>
      </w:r>
      <w:r>
        <w:t xml:space="preserve"> </w:t>
      </w:r>
      <w:r>
        <w:t xml:space="preserve">to</w:t>
      </w:r>
      <w:r>
        <w:t xml:space="preserve"> </w:t>
      </w:r>
      <w:r>
        <w:t xml:space="preserve">Bytes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This course is part of a series of courses for the</w:t>
      </w:r>
      <w:r>
        <w:t xml:space="preserve"> </w:t>
      </w:r>
      <w:hyperlink r:id="rId20">
        <w:r>
          <w:rPr>
            <w:rStyle w:val="Hyperlink"/>
          </w:rPr>
          <w:t xml:space="preserve">Informatics Technology for Cancer Research (ITCR)</w:t>
        </w:r>
      </w:hyperlink>
      <w:r>
        <w:t xml:space="preserve"> </w:t>
      </w:r>
      <w:r>
        <w:t xml:space="preserve">called the Informatics Technology for Cancer Research Education Resource. This material was created by the ITCR Training Network (ITN) which is a collaborative effort of researchers around the United States to support cancer informatics and data science training through resources, technology, and events. This initiative is funded by the following grant:</w:t>
      </w:r>
      <w:r>
        <w:t xml:space="preserve"> </w:t>
      </w:r>
      <w:hyperlink r:id="rId21">
        <w:r>
          <w:rPr>
            <w:rStyle w:val="Hyperlink"/>
          </w:rPr>
          <w:t xml:space="preserve">National Cancer Institute (NCI)</w:t>
        </w:r>
      </w:hyperlink>
      <w:r>
        <w:t xml:space="preserve"> </w:t>
      </w:r>
      <w:r>
        <w:t xml:space="preserve">UE5 CA254170. Our courses feature tools developed by ITCR Investigators and make it easier for principal investigators, scientists, and analysts to integrate cancer informatics into their workflows. Please see our website at</w:t>
      </w:r>
      <w:r>
        <w:t xml:space="preserve"> </w:t>
      </w:r>
      <w:hyperlink r:id="rId22">
        <w:r>
          <w:rPr>
            <w:rStyle w:val="Hyperlink"/>
          </w:rPr>
          <w:t xml:space="preserve">www.itcrtraining.org</w:t>
        </w:r>
      </w:hyperlink>
      <w:r>
        <w:t xml:space="preserve"> </w:t>
      </w:r>
      <w:r>
        <w:t xml:space="preserve">for more information. This course introduces motivations for learning computational and data science skills that can be beneficial for both wet and dry lab researchers across all scientific fields.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3">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3">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3">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29" w:name="introduction"/>
    <w:p>
      <w:pPr>
        <w:pStyle w:val="Heading1"/>
      </w:pPr>
      <w:r>
        <w:rPr>
          <w:rStyle w:val="SectionNumber"/>
        </w:rPr>
        <w:t xml:space="preserve">1</w:t>
      </w:r>
      <w:r>
        <w:tab/>
      </w:r>
      <w:r>
        <w:t xml:space="preserve">Introduction</w:t>
      </w:r>
    </w:p>
    <w:bookmarkStart w:id="26" w:name="motivation"/>
    <w:p>
      <w:pPr>
        <w:pStyle w:val="Heading2"/>
      </w:pPr>
      <w:r>
        <w:rPr>
          <w:rStyle w:val="SectionNumber"/>
        </w:rPr>
        <w:t xml:space="preserve">1.1</w:t>
      </w:r>
      <w:r>
        <w:tab/>
      </w:r>
      <w:r>
        <w:t xml:space="preserve">Motivation</w:t>
      </w:r>
    </w:p>
    <w:bookmarkEnd w:id="26"/>
    <w:bookmarkStart w:id="27"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7"/>
    <w:bookmarkStart w:id="28"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2024-05-23 [1] Github (jhudsl/ottrpal@5d44949)</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8"/>
    <w:bookmarkEnd w:id="29"/>
    <w:bookmarkStart w:id="31" w:name="data-cleaning"/>
    <w:p>
      <w:pPr>
        <w:pStyle w:val="Heading1"/>
      </w:pPr>
      <w:r>
        <w:rPr>
          <w:rStyle w:val="SectionNumber"/>
        </w:rPr>
        <w:t xml:space="preserve">2</w:t>
      </w:r>
      <w:r>
        <w:tab/>
      </w:r>
      <w:r>
        <w:t xml:space="preserve">Data Cleaning</w:t>
      </w:r>
    </w:p>
    <w:p>
      <w:pPr>
        <w:pStyle w:val="FirstParagraph"/>
      </w:pPr>
      <w:r>
        <w:t xml:space="preserve">The first</w:t>
      </w:r>
      <w:r>
        <w:t xml:space="preserve"> </w:t>
      </w:r>
      <w:r>
        <w:t xml:space="preserve">“</w:t>
      </w:r>
      <w:r>
        <w:t xml:space="preserve">why computational skill are useful</w:t>
      </w:r>
      <w:r>
        <w:t xml:space="preserve">”</w:t>
      </w:r>
      <w:r>
        <w:t xml:space="preserve"> </w:t>
      </w:r>
      <w:r>
        <w:t xml:space="preserve">theme that we’ll explore is data cleaning.</w:t>
      </w:r>
      <w:r>
        <w:t xml:space="preserve"> </w:t>
      </w:r>
      <w:r>
        <w:t xml:space="preserve">Blah blah test blah blah</w:t>
      </w:r>
    </w:p>
    <w:bookmarkStart w:id="30"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2"/>
        </w:numPr>
        <w:pStyle w:val="Compact"/>
      </w:pPr>
      <w:r>
        <w:t xml:space="preserve">{LO1}</w:t>
      </w:r>
    </w:p>
    <w:p>
      <w:pPr>
        <w:numPr>
          <w:ilvl w:val="0"/>
          <w:numId w:val="1002"/>
        </w:numPr>
        <w:pStyle w:val="Compact"/>
      </w:pPr>
      <w:r>
        <w:t xml:space="preserve">{LO2}</w:t>
      </w:r>
    </w:p>
    <w:bookmarkEnd w:id="30"/>
    <w:bookmarkEnd w:id="31"/>
    <w:bookmarkStart w:id="33" w:name="data-visualizatoin"/>
    <w:p>
      <w:pPr>
        <w:pStyle w:val="Heading1"/>
      </w:pPr>
      <w:r>
        <w:rPr>
          <w:rStyle w:val="SectionNumber"/>
        </w:rPr>
        <w:t xml:space="preserve">3</w:t>
      </w:r>
      <w:r>
        <w:tab/>
      </w:r>
      <w:r>
        <w:t xml:space="preserve">Data visualizatoin</w:t>
      </w:r>
    </w:p>
    <w:p>
      <w:pPr>
        <w:pStyle w:val="FirstParagraph"/>
      </w:pPr>
      <w:r>
        <w:t xml:space="preserve">The second</w:t>
      </w:r>
      <w:r>
        <w:t xml:space="preserve"> </w:t>
      </w:r>
      <w:r>
        <w:t xml:space="preserve">“</w:t>
      </w:r>
      <w:r>
        <w:t xml:space="preserve">why computational skill are useful</w:t>
      </w:r>
      <w:r>
        <w:t xml:space="preserve">”</w:t>
      </w:r>
      <w:r>
        <w:t xml:space="preserve"> </w:t>
      </w:r>
      <w:r>
        <w:t xml:space="preserve">theme that we’ll explore is data visualization</w:t>
      </w:r>
    </w:p>
    <w:p>
      <w:pPr>
        <w:pStyle w:val="BodyText"/>
      </w:pPr>
      <w:r>
        <w:t xml:space="preserve">Testing blah blah</w:t>
      </w:r>
    </w:p>
    <w:bookmarkStart w:id="32"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3"/>
        </w:numPr>
        <w:pStyle w:val="Compact"/>
      </w:pPr>
      <w:r>
        <w:t xml:space="preserve">{LO1}</w:t>
      </w:r>
    </w:p>
    <w:p>
      <w:pPr>
        <w:numPr>
          <w:ilvl w:val="0"/>
          <w:numId w:val="1003"/>
        </w:numPr>
        <w:pStyle w:val="Compact"/>
      </w:pPr>
      <w:r>
        <w:t xml:space="preserve">{LO2}</w:t>
      </w:r>
    </w:p>
    <w:bookmarkEnd w:id="32"/>
    <w:bookmarkEnd w:id="33"/>
    <w:bookmarkStart w:id="35" w:name="reproducibility"/>
    <w:p>
      <w:pPr>
        <w:pStyle w:val="Heading1"/>
      </w:pPr>
      <w:r>
        <w:rPr>
          <w:rStyle w:val="SectionNumber"/>
        </w:rPr>
        <w:t xml:space="preserve">4</w:t>
      </w:r>
      <w:r>
        <w:tab/>
      </w:r>
      <w:r>
        <w:t xml:space="preserve">Reproducibility</w:t>
      </w:r>
    </w:p>
    <w:p>
      <w:pPr>
        <w:pStyle w:val="FirstParagraph"/>
      </w:pPr>
      <w:r>
        <w:t xml:space="preserve">The third</w:t>
      </w:r>
      <w:r>
        <w:t xml:space="preserve"> </w:t>
      </w:r>
      <w:r>
        <w:t xml:space="preserve">“</w:t>
      </w:r>
      <w:r>
        <w:t xml:space="preserve">why computational skill are useful</w:t>
      </w:r>
      <w:r>
        <w:t xml:space="preserve">”</w:t>
      </w:r>
      <w:r>
        <w:t xml:space="preserve"> </w:t>
      </w:r>
      <w:r>
        <w:t xml:space="preserve">theme that we’ll explore is reproducibility.</w:t>
      </w:r>
    </w:p>
    <w:p>
      <w:pPr>
        <w:pStyle w:val="BodyText"/>
      </w:pPr>
      <w:r>
        <w:t xml:space="preserve">TEST</w:t>
      </w:r>
    </w:p>
    <w:bookmarkStart w:id="34" w:name="learning-objectives-2"/>
    <w:p>
      <w:pPr>
        <w:pStyle w:val="Heading2"/>
      </w:pPr>
      <w:r>
        <w:rPr>
          <w:rStyle w:val="SectionNumber"/>
        </w:rPr>
        <w:t xml:space="preserve">4.1</w:t>
      </w:r>
      <w:r>
        <w:tab/>
      </w:r>
      <w:r>
        <w:t xml:space="preserve">Learning Objectives</w:t>
      </w:r>
    </w:p>
    <w:p>
      <w:pPr>
        <w:pStyle w:val="FirstParagraph"/>
      </w:pPr>
      <w:r>
        <w:t xml:space="preserve">This chapter will cover:</w:t>
      </w:r>
    </w:p>
    <w:p>
      <w:pPr>
        <w:numPr>
          <w:ilvl w:val="0"/>
          <w:numId w:val="1004"/>
        </w:numPr>
        <w:pStyle w:val="Compact"/>
      </w:pPr>
      <w:r>
        <w:t xml:space="preserve">{LO1}</w:t>
      </w:r>
    </w:p>
    <w:p>
      <w:pPr>
        <w:numPr>
          <w:ilvl w:val="0"/>
          <w:numId w:val="1004"/>
        </w:numPr>
        <w:pStyle w:val="Compact"/>
      </w:pPr>
      <w:r>
        <w:t xml:space="preserve">{LO2}</w:t>
      </w:r>
    </w:p>
    <w:bookmarkEnd w:id="34"/>
    <w:bookmarkEnd w:id="35"/>
    <w:bookmarkStart w:id="37" w:name="public-data-and-code-sharing-and-reuse"/>
    <w:p>
      <w:pPr>
        <w:pStyle w:val="Heading1"/>
      </w:pPr>
      <w:r>
        <w:rPr>
          <w:rStyle w:val="SectionNumber"/>
        </w:rPr>
        <w:t xml:space="preserve">5</w:t>
      </w:r>
      <w:r>
        <w:tab/>
      </w:r>
      <w:r>
        <w:t xml:space="preserve">Public Data and Code Sharing and Reuse</w:t>
      </w:r>
    </w:p>
    <w:p>
      <w:pPr>
        <w:pStyle w:val="FirstParagraph"/>
      </w:pPr>
      <w:r>
        <w:t xml:space="preserve">The final</w:t>
      </w:r>
      <w:r>
        <w:t xml:space="preserve"> </w:t>
      </w:r>
      <w:r>
        <w:t xml:space="preserve">“</w:t>
      </w:r>
      <w:r>
        <w:t xml:space="preserve">why computational skill are useful</w:t>
      </w:r>
      <w:r>
        <w:t xml:space="preserve">”</w:t>
      </w:r>
      <w:r>
        <w:t xml:space="preserve"> </w:t>
      </w:r>
      <w:r>
        <w:t xml:space="preserve">theme that we’ll explore is public data and code sharing and reuse</w:t>
      </w:r>
    </w:p>
    <w:p>
      <w:pPr>
        <w:pStyle w:val="BodyText"/>
      </w:pPr>
      <w:r>
        <w:t xml:space="preserve">Testing</w:t>
      </w:r>
      <w:r>
        <w:t xml:space="preserve"> </w:t>
      </w:r>
      <w:r>
        <w:t xml:space="preserve">Testing</w:t>
      </w:r>
    </w:p>
    <w:bookmarkStart w:id="36" w:name="learning-objectives-3"/>
    <w:p>
      <w:pPr>
        <w:pStyle w:val="Heading2"/>
      </w:pPr>
      <w:r>
        <w:rPr>
          <w:rStyle w:val="SectionNumber"/>
        </w:rPr>
        <w:t xml:space="preserve">5.1</w:t>
      </w:r>
      <w:r>
        <w:tab/>
      </w:r>
      <w:r>
        <w:t xml:space="preserve">Learning Objectives</w:t>
      </w:r>
    </w:p>
    <w:p>
      <w:pPr>
        <w:pStyle w:val="FirstParagraph"/>
      </w:pPr>
      <w:r>
        <w:t xml:space="preserve">This chapter will cover:</w:t>
      </w:r>
    </w:p>
    <w:p>
      <w:pPr>
        <w:numPr>
          <w:ilvl w:val="0"/>
          <w:numId w:val="1005"/>
        </w:numPr>
        <w:pStyle w:val="Compact"/>
      </w:pPr>
      <w:r>
        <w:t xml:space="preserve">{LO1}</w:t>
      </w:r>
    </w:p>
    <w:p>
      <w:pPr>
        <w:numPr>
          <w:ilvl w:val="0"/>
          <w:numId w:val="1005"/>
        </w:numPr>
        <w:pStyle w:val="Compact"/>
      </w:pPr>
      <w:r>
        <w:t xml:space="preserve">{LO2}</w:t>
      </w:r>
    </w:p>
    <w:bookmarkEnd w:id="36"/>
    <w:bookmarkEnd w:id="37"/>
    <w:bookmarkStart w:id="45" w:name="about-the-authors"/>
    <w:p>
      <w:pPr>
        <w:pStyle w:val="Heading1"/>
      </w:pPr>
      <w:r>
        <w:t xml:space="preserve">About the Authors</w:t>
      </w:r>
    </w:p>
    <w:p>
      <w:pPr>
        <w:pStyle w:val="FirstParagraph"/>
      </w:pPr>
      <w:r>
        <w:t xml:space="preserve">These credits are based on our</w:t>
      </w:r>
      <w:r>
        <w:t xml:space="preserve"> </w:t>
      </w:r>
      <w:hyperlink r:id="rId3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0">
              <w:r>
                <w:rPr>
                  <w:rStyle w:val="Hyperlink"/>
                </w:rPr>
                <w:t xml:space="preserve">Candace Savonen</w:t>
              </w:r>
            </w:hyperlink>
            <w:r>
              <w:t xml:space="preserve">,</w:t>
            </w:r>
            <w:r>
              <w:t xml:space="preserve"> </w:t>
            </w:r>
            <w:hyperlink r:id="rId41">
              <w:r>
                <w:rPr>
                  <w:rStyle w:val="Hyperlink"/>
                </w:rPr>
                <w:t xml:space="preserve">Carrie Wright</w:t>
              </w:r>
            </w:hyperlink>
            <w:r>
              <w:t xml:space="preserve">,</w:t>
            </w:r>
            <w:r>
              <w:t xml:space="preserve"> </w:t>
            </w:r>
            <w:hyperlink r:id="rId4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4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1">
              <w:r>
                <w:rPr>
                  <w:rStyle w:val="Hyperlink"/>
                </w:rPr>
                <w:t xml:space="preserve">Carrie Wright</w:t>
              </w:r>
            </w:hyperlink>
            <w:r>
              <w:t xml:space="preserve">,</w:t>
            </w:r>
            <w:r>
              <w:t xml:space="preserve"> </w:t>
            </w:r>
            <w:hyperlink r:id="rId42">
              <w:r>
                <w:rPr>
                  <w:rStyle w:val="Hyperlink"/>
                </w:rPr>
                <w:t xml:space="preserve">Ava Hoffman</w:t>
              </w:r>
            </w:hyperlink>
            <w:r>
              <w:t xml:space="preserve">,</w:t>
            </w:r>
            <w:r>
              <w:t xml:space="preserve"> </w:t>
            </w:r>
            <w:hyperlink r:id="rId40">
              <w:r>
                <w:rPr>
                  <w:rStyle w:val="Hyperlink"/>
                </w:rPr>
                <w:t xml:space="preserve">Candace Savonen</w:t>
              </w:r>
            </w:hyperlink>
          </w:p>
        </w:tc>
      </w:tr>
      <w:tr>
        <w:tc>
          <w:tcPr/>
          <w:p>
            <w:pPr>
              <w:pStyle w:val="Compact"/>
              <w:jc w:val="left"/>
            </w:pPr>
            <w:r>
              <w:t xml:space="preserve">Package Developers (</w:t>
            </w:r>
            <w:hyperlink r:id="rId43">
              <w:r>
                <w:rPr>
                  <w:rStyle w:val="Hyperlink"/>
                </w:rPr>
                <w:t xml:space="preserve">ottrpal</w:t>
              </w:r>
            </w:hyperlink>
            <w:r>
              <w:t xml:space="preserve">)</w:t>
            </w:r>
            <w:r>
              <w:t xml:space="preserve"> </w:t>
            </w:r>
            <w:hyperlink r:id="rId40">
              <w:r>
                <w:rPr>
                  <w:rStyle w:val="Hyperlink"/>
                </w:rPr>
                <w:t xml:space="preserve">Candace Savonen</w:t>
              </w:r>
            </w:hyperlink>
            <w:r>
              <w:t xml:space="preserve">,</w:t>
            </w:r>
            <w:r>
              <w:t xml:space="preserve"> </w:t>
            </w:r>
            <w:hyperlink r:id="rId44">
              <w:r>
                <w:rPr>
                  <w:rStyle w:val="Hyperlink"/>
                </w:rPr>
                <w:t xml:space="preserve">John Muschelli</w:t>
              </w:r>
            </w:hyperlink>
            <w:r>
              <w:t xml:space="preserve">,</w:t>
            </w:r>
            <w:r>
              <w:t xml:space="preserve"> </w:t>
            </w:r>
            <w:hyperlink r:id="rId4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bookmarkStart w:id="46" w:name="references"/>
    <w:p>
      <w:pPr>
        <w:pStyle w:val="Heading1"/>
      </w:pPr>
      <w:r>
        <w:rPr>
          <w:rStyle w:val="SectionNumber"/>
        </w:rPr>
        <w:t xml:space="preserve">6</w:t>
      </w:r>
      <w:r>
        <w:tab/>
      </w:r>
      <w:r>
        <w:t xml:space="preserve">References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_rels/footnotes.xml.rels><?xml version="1.0" encoding="UTF-8"?><Relationships xmlns="http://schemas.openxmlformats.org/package/2006/relationships"><Relationship Type="http://schemas.openxmlformats.org/officeDocument/2006/relationships/hyperlink" Id="rId23" Target="LINK%20HERE" TargetMode="External" /><Relationship Type="http://schemas.openxmlformats.org/officeDocument/2006/relationships/hyperlink" Id="rId41" Target="https://carriewright11.github.io/" TargetMode="External" /><Relationship Type="http://schemas.openxmlformats.org/officeDocument/2006/relationships/hyperlink" Id="rId43" Target="https://github.com/jhudsl/ottrpal" TargetMode="External" /><Relationship Type="http://schemas.openxmlformats.org/officeDocument/2006/relationships/hyperlink" Id="rId20" Target="https://itcr.cancer.gov/" TargetMode="External" /><Relationship Type="http://schemas.openxmlformats.org/officeDocument/2006/relationships/hyperlink" Id="rId44" Target="https://johnmuschelli.com/" TargetMode="External" /><Relationship Type="http://schemas.openxmlformats.org/officeDocument/2006/relationships/hyperlink" Id="rId42" Target="https://www.avahoffman.com/" TargetMode="External" /><Relationship Type="http://schemas.openxmlformats.org/officeDocument/2006/relationships/hyperlink" Id="rId21" Target="https://www.cancer.gov/" TargetMode="External" /><Relationship Type="http://schemas.openxmlformats.org/officeDocument/2006/relationships/hyperlink" Id="rId40" Target="https://www.cansavvy.com/" TargetMode="External" /><Relationship Type="http://schemas.openxmlformats.org/officeDocument/2006/relationships/hyperlink" Id="rId38" Target="https://www.ottrproject.org/more_features.html#giving-credits-to-contributors" TargetMode="External" /><Relationship Type="http://schemas.openxmlformats.org/officeDocument/2006/relationships/hyperlink" Id="rId39" Target="link%20to%20personal%20website" TargetMode="External" /><Relationship Type="http://schemas.openxmlformats.org/officeDocument/2006/relationships/hyperlink" Id="rId22" Target="www.itcrtrain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Technology for Cancer Research (ITCR): Bench to Bytes</dc:title>
  <dc:creator/>
  <dc:description>A guide for wet bench researchers about why considering computational and data science skills can be useful for all types of scientific work.</dc:description>
  <cp:keywords/>
  <dcterms:created xsi:type="dcterms:W3CDTF">2024-06-06T21:35:48Z</dcterms:created>
  <dcterms:modified xsi:type="dcterms:W3CDTF">2024-06-06T21:35:48Z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assets/ITN_favicon.ico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