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80"/>
        <w:keepNext/>
      </w:pPr>
      <w:r>
        <w:rPr>
          <w:b/>
          <w:sz w:val="30"/>
        </w:rPr>
        <w:t xml:space="preserve">Manual Operacional de Preenchimento das Planilhas de Carga</w:t>
      </w:r>
    </w:p>
    <w:p>
      <w:pPr>
        <w:jc w:val="center"/>
        <w:spacing w:after="260"/>
      </w:pPr>
      <w:r>
        <w:rPr>
          <w:sz w:val="22"/>
        </w:rPr>
        <w:t xml:space="preserve">Projeto Vivon • Versão para equipe de preparação de dados</w:t>
      </w:r>
    </w:p>
    <w:p>
      <w:pPr>
        <w:spacing w:after="100"/>
      </w:pPr>
      <w:r>
        <w:rPr>
          <w:sz w:val="21"/>
        </w:rPr>
        <w:t xml:space="preserve">Data de emissão: 08/04/2026</w:t>
      </w:r>
    </w:p>
    <w:p>
      <w:pPr>
        <w:spacing w:before="220" w:after="120"/>
        <w:keepNext/>
      </w:pPr>
      <w:r>
        <w:rPr>
          <w:b/>
          <w:sz w:val="24"/>
        </w:rPr>
        <w:t xml:space="preserve">1. Objetivo</w:t>
      </w:r>
    </w:p>
    <w:p>
      <w:pPr>
        <w:spacing w:after="100"/>
      </w:pPr>
      <w:r>
        <w:rPr>
          <w:sz w:val="21"/>
        </w:rPr>
        <w:t xml:space="preserve">Este manual orienta a criação, a nomenclatura das colunas e o preenchimento das planilhas usadas na carga de dados do projeto Vivon. O foco é reduzir rejeições, evitar perda de informação e padronizar a preparação dos arquivos antes da importação.</w:t>
      </w:r>
    </w:p>
    <w:p>
      <w:pPr>
        <w:spacing w:before="220" w:after="120"/>
        <w:keepNext/>
      </w:pPr>
      <w:r>
        <w:rPr>
          <w:b/>
          <w:sz w:val="24"/>
        </w:rPr>
        <w:t xml:space="preserve">2. Arquivos contemplados</w:t>
      </w:r>
    </w:p>
    <w:p>
      <w:pPr>
        <w:spacing w:after="60"/>
      </w:pPr>
      <w:r>
        <w:rPr>
          <w:sz w:val="21"/>
        </w:rPr>
        <w:t xml:space="preserve">• clientes.xlsx • Aba: def_campos_clientes</w:t>
      </w:r>
    </w:p>
    <w:p>
      <w:pPr>
        <w:spacing w:after="60"/>
      </w:pPr>
      <w:r>
        <w:rPr>
          <w:sz w:val="21"/>
        </w:rPr>
        <w:t xml:space="preserve">• fornecedores.xlsx • Aba: def_campos_fornecedor</w:t>
      </w:r>
    </w:p>
    <w:p>
      <w:pPr>
        <w:spacing w:after="60"/>
      </w:pPr>
      <w:r>
        <w:rPr>
          <w:sz w:val="21"/>
        </w:rPr>
        <w:t xml:space="preserve">• produtos.xlsx • Aba: def_campos_produtos</w:t>
      </w:r>
    </w:p>
    <w:p>
      <w:pPr>
        <w:spacing w:after="60"/>
      </w:pPr>
      <w:r>
        <w:rPr>
          <w:sz w:val="21"/>
        </w:rPr>
        <w:t xml:space="preserve">• plano_de_contas.xlsx • Aba: Planilha1</w:t>
      </w:r>
    </w:p>
    <w:p>
      <w:pPr>
        <w:spacing w:before="220" w:after="120"/>
        <w:keepNext/>
      </w:pPr>
      <w:r>
        <w:rPr>
          <w:b/>
          <w:sz w:val="24"/>
        </w:rPr>
        <w:t xml:space="preserve">3. Regras obrigatórias para qualquer planilha</w:t>
      </w:r>
    </w:p>
    <w:p>
      <w:pPr>
        <w:spacing w:after="60"/>
      </w:pPr>
      <w:r>
        <w:rPr>
          <w:sz w:val="21"/>
        </w:rPr>
        <w:t xml:space="preserve">• Sempre utilize o arquivo-modelo entregue pelo projeto. Não crie uma planilha nova do zero se o layout já existir.</w:t>
      </w:r>
    </w:p>
    <w:p>
      <w:pPr>
        <w:spacing w:after="60"/>
      </w:pPr>
      <w:r>
        <w:rPr>
          <w:sz w:val="21"/>
        </w:rPr>
        <w:t xml:space="preserve">• Não altere o nome do arquivo, o nome da aba, a ordem das colunas nem o texto do cabeçalho da linha 1. Os arquivos devem seguir exatamente o layout definido no projeto.</w:t>
      </w:r>
    </w:p>
    <w:p>
      <w:pPr>
        <w:spacing w:after="60"/>
      </w:pPr>
      <w:r>
        <w:rPr>
          <w:sz w:val="21"/>
        </w:rPr>
        <w:t xml:space="preserve">• Preencha os dados a partir da linha 2. A linha 1 é exclusiva para os nomes das colunas.</w:t>
      </w:r>
    </w:p>
    <w:p>
      <w:pPr>
        <w:spacing w:after="60"/>
      </w:pPr>
      <w:r>
        <w:rPr>
          <w:sz w:val="21"/>
        </w:rPr>
        <w:t xml:space="preserve">• Não insira colunas extras, não remova colunas e não deixe colunas obrigatórias sem preenchimento.</w:t>
      </w:r>
    </w:p>
    <w:p>
      <w:pPr>
        <w:spacing w:after="60"/>
      </w:pPr>
      <w:r>
        <w:rPr>
          <w:sz w:val="21"/>
        </w:rPr>
        <w:t xml:space="preserve">• Não use fórmulas, células mescladas, comentários, filtros salvos, subtotais, linhas de separação ou cores como sinalização de regra. A carga considera apenas o valor final de cada célula.</w:t>
      </w:r>
    </w:p>
    <w:p>
      <w:pPr>
        <w:spacing w:after="60"/>
      </w:pPr>
      <w:r>
        <w:rPr>
          <w:sz w:val="21"/>
        </w:rPr>
        <w:t xml:space="preserve">• Cada linha deve representar um único registro completo. Não distribua informações do mesmo cadastro em linhas diferentes.</w:t>
      </w:r>
    </w:p>
    <w:p>
      <w:pPr>
        <w:spacing w:after="60"/>
      </w:pPr>
      <w:r>
        <w:rPr>
          <w:sz w:val="21"/>
        </w:rPr>
        <w:t xml:space="preserve">• Evite linhas totalmente em branco no meio da base.</w:t>
      </w:r>
    </w:p>
    <w:p>
      <w:pPr>
        <w:spacing w:after="60"/>
      </w:pPr>
      <w:r>
        <w:rPr>
          <w:sz w:val="21"/>
        </w:rPr>
        <w:t xml:space="preserve">• Campos com códigos longos devem ser mantidos como texto no Excel para impedir notação científica ou perda de zeros à esquerda. Isso é especialmente importante para cpf_cnpj, rg_inscricao_estadual, insc_estadual, codigo_de_barras e referencia.</w:t>
      </w:r>
    </w:p>
    <w:p>
      <w:pPr>
        <w:spacing w:after="60"/>
      </w:pPr>
      <w:r>
        <w:rPr>
          <w:sz w:val="21"/>
        </w:rPr>
        <w:t xml:space="preserve">• Quando um campo exigir somente números, informe apenas dígitos, sem pontos, barras, traços, parênteses, espaços ou prefixos.</w:t>
      </w:r>
    </w:p>
    <w:p>
      <w:pPr>
        <w:spacing w:after="60"/>
      </w:pPr>
      <w:r>
        <w:rPr>
          <w:sz w:val="21"/>
        </w:rPr>
        <w:t xml:space="preserve">• Para valores monetários e quantidades decimais, use preenchimento numérico simples, preferencialmente no padrão brasileiro, como 1234,56. Não use símbolo de moeda.</w:t>
      </w:r>
    </w:p>
    <w:p>
      <w:pPr>
        <w:spacing w:after="60"/>
      </w:pPr>
      <w:r>
        <w:rPr>
          <w:sz w:val="21"/>
        </w:rPr>
        <w:t xml:space="preserve">• Antes de entregar o arquivo, valide duplicidades de códigos, campos obrigatórios vazios e relacionamentos entre planilhas.</w:t>
      </w:r>
    </w:p>
    <w:p>
      <w:pPr>
        <w:spacing w:before="220" w:after="120"/>
        <w:keepNext/>
      </w:pPr>
      <w:r>
        <w:rPr>
          <w:b/>
          <w:sz w:val="24"/>
        </w:rPr>
        <w:t xml:space="preserve">4. Ordem recomendada de preparação</w:t>
      </w:r>
    </w:p>
    <w:p>
      <w:pPr>
        <w:spacing w:after="60"/>
      </w:pPr>
      <w:r>
        <w:rPr>
          <w:sz w:val="21"/>
        </w:rPr>
        <w:t xml:space="preserve">• 1. Preencher e validar fornecedores.xlsx.</w:t>
      </w:r>
    </w:p>
    <w:p>
      <w:pPr>
        <w:spacing w:after="60"/>
      </w:pPr>
      <w:r>
        <w:rPr>
          <w:sz w:val="21"/>
        </w:rPr>
        <w:t xml:space="preserve">• 2. Preencher e validar clientes.xlsx.</w:t>
      </w:r>
    </w:p>
    <w:p>
      <w:pPr>
        <w:spacing w:after="60"/>
      </w:pPr>
      <w:r>
        <w:rPr>
          <w:sz w:val="21"/>
        </w:rPr>
        <w:t xml:space="preserve">• 3. Preencher e validar produtos.xlsx, usando os códigos já existentes em fornecedores.xlsx.</w:t>
      </w:r>
    </w:p>
    <w:p>
      <w:pPr>
        <w:spacing w:after="60"/>
      </w:pPr>
      <w:r>
        <w:rPr>
          <w:sz w:val="21"/>
        </w:rPr>
        <w:t xml:space="preserve">• 4. Preencher e validar plano_de_contas.xlsx, quando fizer parte do escopo da carga.</w:t>
      </w:r>
    </w:p>
    <w:p>
      <w:pPr>
        <w:spacing w:before="220" w:after="120"/>
        <w:keepNext/>
      </w:pPr>
      <w:r>
        <w:rPr>
          <w:b/>
          <w:sz w:val="24"/>
        </w:rPr>
        <w:t xml:space="preserve">5. Orientações por planilha</w:t>
      </w:r>
    </w:p>
    <w:p>
      <w:pPr>
        <w:spacing w:before="220" w:after="120"/>
        <w:keepNext/>
      </w:pPr>
      <w:r>
        <w:rPr>
          <w:b/>
          <w:sz w:val="24"/>
        </w:rPr>
        <w:t xml:space="preserve">5.1 clientes.xlsx</w:t>
      </w:r>
    </w:p>
    <w:p>
      <w:pPr>
        <w:spacing w:after="100"/>
      </w:pPr>
      <w:r>
        <w:rPr>
          <w:sz w:val="21"/>
        </w:rPr>
        <w:t xml:space="preserve">Finalidade: cadastrar clientes e seus dados principais para importação.</w:t>
      </w:r>
    </w:p>
    <w:p>
      <w:pPr>
        <w:spacing w:after="100"/>
      </w:pPr>
      <w:r>
        <w:rPr>
          <w:sz w:val="21"/>
        </w:rPr>
        <w:t xml:space="preserve">Campos do layout: codigo_do_cliente, nome_do_cliente, cpf_cnpj, rg_inscricao_estadual, endereco, num_endereco, bairro, cep, cidade, uf, cod_ibge_cidade, ponto_de_referência, telefone, celular, data_nascimento, limite_credito, email, conjuge, conjuge_cpf, nome_pai, nome_mae, observacoes.</w:t>
      </w:r>
    </w:p>
    <w:p>
      <w:pPr>
        <w:spacing w:after="60"/>
      </w:pPr>
      <w:r>
        <w:rPr>
          <w:b/>
          <w:sz w:val="21"/>
        </w:rPr>
        <w:t xml:space="preserve">codigo_do_cliente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Identificador único do cliente na origem. Não repetir valores. Preferir preenchimento apenas com dígitos, sem espaços ou texto decorativo.</w:t>
      </w:r>
    </w:p>
    <w:p>
      <w:pPr>
        <w:spacing w:after="60"/>
      </w:pPr>
      <w:r>
        <w:rPr>
          <w:b/>
          <w:sz w:val="21"/>
        </w:rPr>
        <w:t xml:space="preserve">nome_do_cliente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Informar nome completo ou razão social. Evitar abreviações desnecessárias.</w:t>
      </w:r>
    </w:p>
    <w:p>
      <w:pPr>
        <w:spacing w:after="60"/>
      </w:pPr>
      <w:r>
        <w:rPr>
          <w:b/>
          <w:sz w:val="21"/>
        </w:rPr>
        <w:t xml:space="preserve">cpf_cnpj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Informar somente números, com 11 dígitos para CPF ou 14 para CNPJ.</w:t>
      </w:r>
    </w:p>
    <w:p>
      <w:pPr>
        <w:spacing w:after="60"/>
      </w:pPr>
      <w:r>
        <w:rPr>
          <w:b/>
          <w:sz w:val="21"/>
        </w:rPr>
        <w:t xml:space="preserve">rg_inscricao_estadual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Informar somente quando existir. Se preenchido, usar valor real e evitar textos curtos demais.</w:t>
      </w:r>
    </w:p>
    <w:p>
      <w:pPr>
        <w:spacing w:after="60"/>
      </w:pPr>
      <w:r>
        <w:rPr>
          <w:b/>
          <w:sz w:val="21"/>
        </w:rPr>
        <w:t xml:space="preserve">endereco, num_endereco, bairro, cidade, uf </w:t>
      </w:r>
      <w:r>
        <w:rPr>
          <w:b/>
          <w:sz w:val="21"/>
        </w:rPr>
        <w:t xml:space="preserve">(obrigatórios) </w:t>
      </w:r>
      <w:r>
        <w:rPr>
          <w:sz w:val="21"/>
        </w:rPr>
        <w:t xml:space="preserve">Preencher endereço completo. A UF deve ter exatamente 2 letras. Se não houver número, informar SN.</w:t>
      </w:r>
    </w:p>
    <w:p>
      <w:pPr>
        <w:spacing w:after="60"/>
      </w:pPr>
      <w:r>
        <w:rPr>
          <w:b/>
          <w:sz w:val="21"/>
        </w:rPr>
        <w:t xml:space="preserve">cep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Informar 8 dígitos, sem máscara.</w:t>
      </w:r>
    </w:p>
    <w:p>
      <w:pPr>
        <w:spacing w:after="60"/>
      </w:pPr>
      <w:r>
        <w:rPr>
          <w:b/>
          <w:sz w:val="21"/>
        </w:rPr>
        <w:t xml:space="preserve">cod_ibge_cidade </w:t>
      </w:r>
      <w:r>
        <w:rPr>
          <w:b/>
          <w:sz w:val="21"/>
        </w:rPr>
        <w:t xml:space="preserve">(recomendado) </w:t>
      </w:r>
      <w:r>
        <w:rPr>
          <w:sz w:val="21"/>
        </w:rPr>
        <w:t xml:space="preserve">Informar 7 dígitos.</w:t>
      </w:r>
    </w:p>
    <w:p>
      <w:pPr>
        <w:spacing w:after="60"/>
      </w:pPr>
      <w:r>
        <w:rPr>
          <w:b/>
          <w:sz w:val="21"/>
        </w:rPr>
        <w:t xml:space="preserve">telefone e celular </w:t>
      </w:r>
      <w:r>
        <w:rPr>
          <w:b/>
          <w:sz w:val="21"/>
        </w:rPr>
        <w:t xml:space="preserve">(opcionais) </w:t>
      </w:r>
      <w:r>
        <w:rPr>
          <w:sz w:val="21"/>
        </w:rPr>
        <w:t xml:space="preserve">Informar somente números, incluindo DDD.</w:t>
      </w:r>
    </w:p>
    <w:p>
      <w:pPr>
        <w:spacing w:after="60"/>
      </w:pPr>
      <w:r>
        <w:rPr>
          <w:b/>
          <w:sz w:val="21"/>
        </w:rPr>
        <w:t xml:space="preserve">data_nascimento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Manter um padrão único em toda a planilha. Recomenda-se DD/MM/AAAA.</w:t>
      </w:r>
    </w:p>
    <w:p>
      <w:pPr>
        <w:spacing w:after="60"/>
      </w:pPr>
      <w:r>
        <w:rPr>
          <w:b/>
          <w:sz w:val="21"/>
        </w:rPr>
        <w:t xml:space="preserve">limite_credito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Informar valor numérico sem símbolo monetário. Exemplo: 1500,00.</w:t>
      </w:r>
    </w:p>
    <w:p>
      <w:pPr>
        <w:spacing w:after="60"/>
      </w:pPr>
      <w:r>
        <w:rPr>
          <w:b/>
          <w:sz w:val="21"/>
        </w:rPr>
        <w:t xml:space="preserve">email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Informar e-mail válido e completo.</w:t>
      </w:r>
    </w:p>
    <w:p>
      <w:pPr>
        <w:spacing w:after="60"/>
      </w:pPr>
      <w:r>
        <w:rPr>
          <w:b/>
          <w:sz w:val="21"/>
        </w:rPr>
        <w:t xml:space="preserve">conjuge, conjuge_cpf, nome_pai, nome_mae, observacoes </w:t>
      </w:r>
      <w:r>
        <w:rPr>
          <w:b/>
          <w:sz w:val="21"/>
        </w:rPr>
        <w:t xml:space="preserve">(opcionais) </w:t>
      </w:r>
      <w:r>
        <w:rPr>
          <w:sz w:val="21"/>
        </w:rPr>
        <w:t xml:space="preserve">Usar apenas quando houver informação confiável.</w:t>
      </w:r>
    </w:p>
    <w:p>
      <w:pPr>
        <w:spacing w:before="220" w:after="120"/>
        <w:keepNext/>
      </w:pPr>
      <w:r>
        <w:rPr>
          <w:b/>
          <w:sz w:val="24"/>
        </w:rPr>
        <w:t xml:space="preserve">5.2 fornecedores.xlsx</w:t>
      </w:r>
    </w:p>
    <w:p>
      <w:pPr>
        <w:spacing w:after="100"/>
      </w:pPr>
      <w:r>
        <w:rPr>
          <w:sz w:val="21"/>
        </w:rPr>
        <w:t xml:space="preserve">Finalidade: cadastrar fornecedores usados na carga e no vínculo principal dos produtos.</w:t>
      </w:r>
    </w:p>
    <w:p>
      <w:pPr>
        <w:spacing w:after="100"/>
      </w:pPr>
      <w:r>
        <w:rPr>
          <w:sz w:val="21"/>
        </w:rPr>
        <w:t xml:space="preserve">Campos do layout: codigo_do_fornecedor, cpf_cnpj, insc_estadual, fornecedor, nome_fantasia, endereco, numero_endereco, bairro, cep, codigo_ibge_cidade, cidade, uf, fone1, email.</w:t>
      </w:r>
    </w:p>
    <w:p>
      <w:pPr>
        <w:spacing w:after="60"/>
      </w:pPr>
      <w:r>
        <w:rPr>
          <w:b/>
          <w:sz w:val="21"/>
        </w:rPr>
        <w:t xml:space="preserve">codigo_do_fornecedor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Identificador único do fornecedor na origem. Este código é usado por produtos.xlsx no campo codigo_fornecedor_principal.</w:t>
      </w:r>
    </w:p>
    <w:p>
      <w:pPr>
        <w:spacing w:after="60"/>
      </w:pPr>
      <w:r>
        <w:rPr>
          <w:b/>
          <w:sz w:val="21"/>
        </w:rPr>
        <w:t xml:space="preserve">cpf_cnpj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Informar somente números, com 11 dígitos para CPF ou 14 para CNPJ.</w:t>
      </w:r>
    </w:p>
    <w:p>
      <w:pPr>
        <w:spacing w:after="60"/>
      </w:pPr>
      <w:r>
        <w:rPr>
          <w:b/>
          <w:sz w:val="21"/>
        </w:rPr>
        <w:t xml:space="preserve">insc_estadual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Informar somente números ou texto realmente aplicável, evitando valores incompletos.</w:t>
      </w:r>
    </w:p>
    <w:p>
      <w:pPr>
        <w:spacing w:after="60"/>
      </w:pPr>
      <w:r>
        <w:rPr>
          <w:b/>
          <w:sz w:val="21"/>
        </w:rPr>
        <w:t xml:space="preserve">fornecedor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Razão social completa.</w:t>
      </w:r>
    </w:p>
    <w:p>
      <w:pPr>
        <w:spacing w:after="60"/>
      </w:pPr>
      <w:r>
        <w:rPr>
          <w:b/>
          <w:sz w:val="21"/>
        </w:rPr>
        <w:t xml:space="preserve">nome_fantasia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Preencher quando existir.</w:t>
      </w:r>
    </w:p>
    <w:p>
      <w:pPr>
        <w:spacing w:after="60"/>
      </w:pPr>
      <w:r>
        <w:rPr>
          <w:b/>
          <w:sz w:val="21"/>
        </w:rPr>
        <w:t xml:space="preserve">endereco, numero_endereco, bairro, cidade, uf </w:t>
      </w:r>
      <w:r>
        <w:rPr>
          <w:b/>
          <w:sz w:val="21"/>
        </w:rPr>
        <w:t xml:space="preserve">(obrigatórios) </w:t>
      </w:r>
      <w:r>
        <w:rPr>
          <w:sz w:val="21"/>
        </w:rPr>
        <w:t xml:space="preserve">Preencher endereço completo. UF deve ter 2 letras. Se não houver número, informar SN.</w:t>
      </w:r>
    </w:p>
    <w:p>
      <w:pPr>
        <w:spacing w:after="60"/>
      </w:pPr>
      <w:r>
        <w:rPr>
          <w:b/>
          <w:sz w:val="21"/>
        </w:rPr>
        <w:t xml:space="preserve">cep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Informar 8 dígitos, sem máscara.</w:t>
      </w:r>
    </w:p>
    <w:p>
      <w:pPr>
        <w:spacing w:after="60"/>
      </w:pPr>
      <w:r>
        <w:rPr>
          <w:b/>
          <w:sz w:val="21"/>
        </w:rPr>
        <w:t xml:space="preserve">codigo_ibge_cidade </w:t>
      </w:r>
      <w:r>
        <w:rPr>
          <w:b/>
          <w:sz w:val="21"/>
        </w:rPr>
        <w:t xml:space="preserve">(recomendado) </w:t>
      </w:r>
      <w:r>
        <w:rPr>
          <w:sz w:val="21"/>
        </w:rPr>
        <w:t xml:space="preserve">Informar 7 dígitos.</w:t>
      </w:r>
    </w:p>
    <w:p>
      <w:pPr>
        <w:spacing w:after="60"/>
      </w:pPr>
      <w:r>
        <w:rPr>
          <w:b/>
          <w:sz w:val="21"/>
        </w:rPr>
        <w:t xml:space="preserve">fone1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Informar somente números com DDD.</w:t>
      </w:r>
    </w:p>
    <w:p>
      <w:pPr>
        <w:spacing w:after="60"/>
      </w:pPr>
      <w:r>
        <w:rPr>
          <w:b/>
          <w:sz w:val="21"/>
        </w:rPr>
        <w:t xml:space="preserve">email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Informar e-mail válido e completo.</w:t>
      </w:r>
    </w:p>
    <w:p>
      <w:pPr>
        <w:spacing w:after="100"/>
      </w:pPr>
      <w:r>
        <w:rPr>
          <w:sz w:val="21"/>
        </w:rPr>
        <w:t xml:space="preserve">Regra crítica: nenhum produto deve apontar para um codigo_fornecedor_principal inexistente em fornecedores.xlsx.</w:t>
      </w:r>
    </w:p>
    <w:p>
      <w:pPr>
        <w:spacing w:before="220" w:after="120"/>
        <w:keepNext/>
      </w:pPr>
      <w:r>
        <w:rPr>
          <w:b/>
          <w:sz w:val="24"/>
        </w:rPr>
        <w:t xml:space="preserve">5.3 produtos.xlsx</w:t>
      </w:r>
    </w:p>
    <w:p>
      <w:pPr>
        <w:spacing w:after="100"/>
      </w:pPr>
      <w:r>
        <w:rPr>
          <w:sz w:val="21"/>
        </w:rPr>
        <w:t xml:space="preserve">Finalidade: cadastrar produtos para inserção, formação de preço e vínculo com fornecedor principal.</w:t>
      </w:r>
    </w:p>
    <w:p>
      <w:pPr>
        <w:spacing w:after="100"/>
      </w:pPr>
      <w:r>
        <w:rPr>
          <w:sz w:val="21"/>
        </w:rPr>
        <w:t xml:space="preserve">Campos do layout: codigo_do_produto, codigo_de_barras, descricao, referencia, ncm, cest, preco_venda, peso_bruto, estoque, estoque_minimo, preco_custo, descricao_grupo, subgrupo, margem, unidade_de_venda, tax_table_01_ff_ii_nn, codigo_fornecedor_principal, razao_fornecedor_principal, nome_da_marca, tipo_do_produto, preco_compra, ipi, frete, st, Credito_icms, multiplo_de_venda.</w:t>
      </w:r>
    </w:p>
    <w:p>
      <w:pPr>
        <w:spacing w:after="60"/>
      </w:pPr>
      <w:r>
        <w:rPr>
          <w:b/>
          <w:sz w:val="21"/>
        </w:rPr>
        <w:t xml:space="preserve">codigo_do_produto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Identificador único do produto. Não pode repetir em mais de uma linha da planilha.</w:t>
      </w:r>
    </w:p>
    <w:p>
      <w:pPr>
        <w:spacing w:after="60"/>
      </w:pPr>
      <w:r>
        <w:rPr>
          <w:b/>
          <w:sz w:val="21"/>
        </w:rPr>
        <w:t xml:space="preserve">codigo_de_barras </w:t>
      </w:r>
      <w:r>
        <w:rPr>
          <w:b/>
          <w:sz w:val="21"/>
        </w:rPr>
        <w:t xml:space="preserve">(recomendado) </w:t>
      </w:r>
      <w:r>
        <w:rPr>
          <w:sz w:val="21"/>
        </w:rPr>
        <w:t xml:space="preserve">Informar somente números. O ideal é informar o GTIN real do produto sempre que existir.</w:t>
      </w:r>
    </w:p>
    <w:p>
      <w:pPr>
        <w:spacing w:after="60"/>
      </w:pPr>
      <w:r>
        <w:rPr>
          <w:b/>
          <w:sz w:val="21"/>
        </w:rPr>
        <w:t xml:space="preserve">descricao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Descrição comercial completa do item.</w:t>
      </w:r>
    </w:p>
    <w:p>
      <w:pPr>
        <w:spacing w:after="60"/>
      </w:pPr>
      <w:r>
        <w:rPr>
          <w:b/>
          <w:sz w:val="21"/>
        </w:rPr>
        <w:t xml:space="preserve">referencia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Código de referência do fabricante. Manter como texto para evitar perda de zeros ou notação científica.</w:t>
      </w:r>
    </w:p>
    <w:p>
      <w:pPr>
        <w:spacing w:after="60"/>
      </w:pPr>
      <w:r>
        <w:rPr>
          <w:b/>
          <w:sz w:val="21"/>
        </w:rPr>
        <w:t xml:space="preserve">ncm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Informar somente números. Recomenda-se 8 dígitos conforme cadastro fiscal da empresa.</w:t>
      </w:r>
    </w:p>
    <w:p>
      <w:pPr>
        <w:spacing w:after="60"/>
      </w:pPr>
      <w:r>
        <w:rPr>
          <w:b/>
          <w:sz w:val="21"/>
        </w:rPr>
        <w:t xml:space="preserve">cest </w:t>
      </w:r>
      <w:r>
        <w:rPr>
          <w:b/>
          <w:sz w:val="21"/>
        </w:rPr>
        <w:t xml:space="preserve">(condicional) </w:t>
      </w:r>
      <w:r>
        <w:rPr>
          <w:sz w:val="21"/>
        </w:rPr>
        <w:t xml:space="preserve">Informar somente números quando aplicável.</w:t>
      </w:r>
    </w:p>
    <w:p>
      <w:pPr>
        <w:spacing w:after="60"/>
      </w:pPr>
      <w:r>
        <w:rPr>
          <w:b/>
          <w:sz w:val="21"/>
        </w:rPr>
        <w:t xml:space="preserve">preco_venda, preco_custo, preco_compra, ipi, frete, st, Credito_icms </w:t>
      </w:r>
      <w:r>
        <w:rPr>
          <w:b/>
          <w:sz w:val="21"/>
        </w:rPr>
        <w:t xml:space="preserve">(numéricos) </w:t>
      </w:r>
      <w:r>
        <w:rPr>
          <w:sz w:val="21"/>
        </w:rPr>
        <w:t xml:space="preserve">Informar valores sem símbolo de moeda. Se não houver valor para campos complementares, preferir zero em vez de texto.</w:t>
      </w:r>
    </w:p>
    <w:p>
      <w:pPr>
        <w:spacing w:after="60"/>
      </w:pPr>
      <w:r>
        <w:rPr>
          <w:b/>
          <w:sz w:val="21"/>
        </w:rPr>
        <w:t xml:space="preserve">peso_bruto, estoque, estoque_minimo, margem, multiplo_de_venda </w:t>
      </w:r>
      <w:r>
        <w:rPr>
          <w:b/>
          <w:sz w:val="21"/>
        </w:rPr>
        <w:t xml:space="preserve">(numéricos) </w:t>
      </w:r>
      <w:r>
        <w:rPr>
          <w:sz w:val="21"/>
        </w:rPr>
        <w:t xml:space="preserve">Usar apenas números. Estoque e preços devem refletir a base de origem.</w:t>
      </w:r>
    </w:p>
    <w:p>
      <w:pPr>
        <w:spacing w:after="60"/>
      </w:pPr>
      <w:r>
        <w:rPr>
          <w:b/>
          <w:sz w:val="21"/>
        </w:rPr>
        <w:t xml:space="preserve">descricao_grupo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Grupo principal do produto.</w:t>
      </w:r>
    </w:p>
    <w:p>
      <w:pPr>
        <w:spacing w:after="60"/>
      </w:pPr>
      <w:r>
        <w:rPr>
          <w:b/>
          <w:sz w:val="21"/>
        </w:rPr>
        <w:t xml:space="preserve">subgrupo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Detalhamento do grupo, quando existir.</w:t>
      </w:r>
    </w:p>
    <w:p>
      <w:pPr>
        <w:spacing w:after="60"/>
      </w:pPr>
      <w:r>
        <w:rPr>
          <w:b/>
          <w:sz w:val="21"/>
        </w:rPr>
        <w:t xml:space="preserve">unidade_de_venda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Sigla de unidade compatível com o cadastro do sistema, como UN, CX, KG ou PC.</w:t>
      </w:r>
    </w:p>
    <w:p>
      <w:pPr>
        <w:spacing w:after="60"/>
      </w:pPr>
      <w:r>
        <w:rPr>
          <w:b/>
          <w:sz w:val="21"/>
        </w:rPr>
        <w:t xml:space="preserve">tax_table_01_ff_ii_nn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Preencher com a regra tributária usada pelo projeto, como 01, FF, II ou NN. Esse campo influencia CST, CFOP e CSOSN gerados na importação.</w:t>
      </w:r>
    </w:p>
    <w:p>
      <w:pPr>
        <w:spacing w:after="60"/>
      </w:pPr>
      <w:r>
        <w:rPr>
          <w:b/>
          <w:sz w:val="21"/>
        </w:rPr>
        <w:t xml:space="preserve">codigo_fornecedor_principal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O valor deve existir exatamente em fornecedores.xlsx na coluna codigo_do_fornecedor.</w:t>
      </w:r>
    </w:p>
    <w:p>
      <w:pPr>
        <w:spacing w:after="60"/>
      </w:pPr>
      <w:r>
        <w:rPr>
          <w:b/>
          <w:sz w:val="21"/>
        </w:rPr>
        <w:t xml:space="preserve">razao_fornecedor_principal </w:t>
      </w:r>
      <w:r>
        <w:rPr>
          <w:b/>
          <w:sz w:val="21"/>
        </w:rPr>
        <w:t xml:space="preserve">(recomendado) </w:t>
      </w:r>
      <w:r>
        <w:rPr>
          <w:sz w:val="21"/>
        </w:rPr>
        <w:t xml:space="preserve">Preencher com a razão social correspondente ao fornecedor principal para facilitar conferência humana.</w:t>
      </w:r>
    </w:p>
    <w:p>
      <w:pPr>
        <w:spacing w:after="60"/>
      </w:pPr>
      <w:r>
        <w:rPr>
          <w:b/>
          <w:sz w:val="21"/>
        </w:rPr>
        <w:t xml:space="preserve">nome_da_marca </w:t>
      </w:r>
      <w:r>
        <w:rPr>
          <w:b/>
          <w:sz w:val="21"/>
        </w:rPr>
        <w:t xml:space="preserve">(opcional) </w:t>
      </w:r>
      <w:r>
        <w:rPr>
          <w:sz w:val="21"/>
        </w:rPr>
        <w:t xml:space="preserve">Marca comercial do produto.</w:t>
      </w:r>
    </w:p>
    <w:p>
      <w:pPr>
        <w:spacing w:after="60"/>
      </w:pPr>
      <w:r>
        <w:rPr>
          <w:b/>
          <w:sz w:val="21"/>
        </w:rPr>
        <w:t xml:space="preserve">tipo_do_produto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Preencher conforme a regra operacional definida para a carga. Nos exemplos atuais da base, o valor usado é S.</w:t>
      </w:r>
    </w:p>
    <w:p>
      <w:pPr>
        <w:spacing w:before="220" w:after="120"/>
        <w:keepNext/>
      </w:pPr>
      <w:r>
        <w:rPr>
          <w:b/>
          <w:sz w:val="24"/>
        </w:rPr>
        <w:t xml:space="preserve">5.4 plano_de_contas.xlsx</w:t>
      </w:r>
    </w:p>
    <w:p>
      <w:pPr>
        <w:spacing w:after="100"/>
      </w:pPr>
      <w:r>
        <w:rPr>
          <w:sz w:val="21"/>
        </w:rPr>
        <w:t xml:space="preserve">Finalidade: importar o plano de contas quando essa etapa fizer parte da carga do cliente.</w:t>
      </w:r>
    </w:p>
    <w:p>
      <w:pPr>
        <w:spacing w:after="100"/>
      </w:pPr>
      <w:r>
        <w:rPr>
          <w:sz w:val="21"/>
        </w:rPr>
        <w:t xml:space="preserve">Campos do layout: codigo, classificacao, tipo, descricao.</w:t>
      </w:r>
    </w:p>
    <w:p>
      <w:pPr>
        <w:spacing w:after="60"/>
      </w:pPr>
      <w:r>
        <w:rPr>
          <w:b/>
          <w:sz w:val="21"/>
        </w:rPr>
        <w:t xml:space="preserve">codigo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Código interno da linha do plano de contas.</w:t>
      </w:r>
    </w:p>
    <w:p>
      <w:pPr>
        <w:spacing w:after="60"/>
      </w:pPr>
      <w:r>
        <w:rPr>
          <w:b/>
          <w:sz w:val="21"/>
        </w:rPr>
        <w:t xml:space="preserve">classificacao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Classificação hierárquica da conta. Manter o padrão da contabilidade de origem.</w:t>
      </w:r>
    </w:p>
    <w:p>
      <w:pPr>
        <w:spacing w:after="60"/>
      </w:pPr>
      <w:r>
        <w:rPr>
          <w:b/>
          <w:sz w:val="21"/>
        </w:rPr>
        <w:t xml:space="preserve">tipo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Usar o valor previsto no layout de origem, como S para sintética e A para analítica, quando aplicável.</w:t>
      </w:r>
    </w:p>
    <w:p>
      <w:pPr>
        <w:spacing w:after="60"/>
      </w:pPr>
      <w:r>
        <w:rPr>
          <w:b/>
          <w:sz w:val="21"/>
        </w:rPr>
        <w:t xml:space="preserve">descricao </w:t>
      </w:r>
      <w:r>
        <w:rPr>
          <w:b/>
          <w:sz w:val="21"/>
        </w:rPr>
        <w:t xml:space="preserve">(obrigatório) </w:t>
      </w:r>
      <w:r>
        <w:rPr>
          <w:sz w:val="21"/>
        </w:rPr>
        <w:t xml:space="preserve">Descrição da conta contábil.</w:t>
      </w:r>
    </w:p>
    <w:p>
      <w:pPr>
        <w:spacing w:before="220" w:after="120"/>
        <w:keepNext/>
      </w:pPr>
      <w:r>
        <w:rPr>
          <w:b/>
          <w:sz w:val="24"/>
        </w:rPr>
        <w:t xml:space="preserve">6. Checklist antes da entrega</w:t>
      </w:r>
    </w:p>
    <w:p>
      <w:pPr>
        <w:spacing w:after="60"/>
      </w:pPr>
      <w:r>
        <w:rPr>
          <w:sz w:val="21"/>
        </w:rPr>
        <w:t xml:space="preserve">• O nome do arquivo e da aba está exatamente igual ao modelo.</w:t>
      </w:r>
    </w:p>
    <w:p>
      <w:pPr>
        <w:spacing w:after="60"/>
      </w:pPr>
      <w:r>
        <w:rPr>
          <w:sz w:val="21"/>
        </w:rPr>
        <w:t xml:space="preserve">• A linha 1 contém os cabeçalhos originais, sem renomeação e sem troca de ordem.</w:t>
      </w:r>
    </w:p>
    <w:p>
      <w:pPr>
        <w:spacing w:after="60"/>
      </w:pPr>
      <w:r>
        <w:rPr>
          <w:sz w:val="21"/>
        </w:rPr>
        <w:t xml:space="preserve">• Não existem colunas extras nem fórmulas.</w:t>
      </w:r>
    </w:p>
    <w:p>
      <w:pPr>
        <w:spacing w:after="60"/>
      </w:pPr>
      <w:r>
        <w:rPr>
          <w:sz w:val="21"/>
        </w:rPr>
        <w:t xml:space="preserve">• Os códigos principais não estão duplicados.</w:t>
      </w:r>
    </w:p>
    <w:p>
      <w:pPr>
        <w:spacing w:after="60"/>
      </w:pPr>
      <w:r>
        <w:rPr>
          <w:sz w:val="21"/>
        </w:rPr>
        <w:t xml:space="preserve">• CEP, CPF, CNPJ, IBGE, NCM, CEST, telefones e códigos de barras estão sem máscara.</w:t>
      </w:r>
    </w:p>
    <w:p>
      <w:pPr>
        <w:spacing w:after="60"/>
      </w:pPr>
      <w:r>
        <w:rPr>
          <w:sz w:val="21"/>
        </w:rPr>
        <w:t xml:space="preserve">• Todos os produtos apontam para um fornecedor existente.</w:t>
      </w:r>
    </w:p>
    <w:p>
      <w:pPr>
        <w:spacing w:after="60"/>
      </w:pPr>
      <w:r>
        <w:rPr>
          <w:sz w:val="21"/>
        </w:rPr>
        <w:t xml:space="preserve">• Campos tributários e de unidade foram revisados pela área responsável.</w:t>
      </w:r>
    </w:p>
    <w:p>
      <w:pPr>
        <w:spacing w:after="60"/>
      </w:pPr>
      <w:r>
        <w:rPr>
          <w:sz w:val="21"/>
        </w:rPr>
        <w:t xml:space="preserve">• Os valores numéricos foram revisados e não contêm texto indevido.</w:t>
      </w:r>
    </w:p>
    <w:p>
      <w:pPr>
        <w:spacing w:before="220" w:after="120"/>
        <w:keepNext/>
      </w:pPr>
      <w:r>
        <w:rPr>
          <w:b/>
          <w:sz w:val="24"/>
        </w:rPr>
        <w:t xml:space="preserve">7. Observação final</w:t>
      </w:r>
    </w:p>
    <w:p>
      <w:pPr>
        <w:spacing w:after="100"/>
      </w:pPr>
      <w:r>
        <w:rPr>
          <w:sz w:val="21"/>
        </w:rPr>
        <w:t xml:space="preserve">Quando houver dúvida sobre o significado de uma coluna ou sobre a regra de negócio de um campo tributário, a equipe deve validar antes da entrega da planilha. Corrigir o layout na origem é sempre mais seguro do que tratar erros depois da carga.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99"/>
    <w:rsid w:val="00083748"/>
    <w:rsid w:val="00256F99"/>
    <w:rsid w:val="002D096D"/>
    <w:rsid w:val="005D60F5"/>
    <w:rsid w:val="00792834"/>
    <w:rsid w:val="007B5E2A"/>
    <w:rsid w:val="008866A1"/>
    <w:rsid w:val="009A73B1"/>
    <w:rsid w:val="00BB5E22"/>
    <w:rsid w:val="00C3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5A5034"/>
  <w14:defaultImageDpi w14:val="0"/>
  <w15:docId w15:val="{10070160-465C-4D18-8148-5F9A7567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982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Operacional de Preenchimento das Planilhas de Carga - Vivon</dc:title>
  <dc:subject>Orientações de preenchimento das planilhas de carga do projeto Vivon</dc:subject>
  <dc:creator>OpenAI Codex</dc:creator>
  <cp:keywords>Vivon, planilhas, carga de dados</cp:keywords>
  <dc:description>Documento atualizado para a equipe responsável pela preparação das planilhas de carga.</dc:description>
  <cp:lastModifiedBy>OpenAI Codex</cp:lastModifiedBy>
  <dcterms:created xsi:type="dcterms:W3CDTF">2026-04-08T11:45:35Z</dcterms:created>
  <dcterms:modified xsi:type="dcterms:W3CDTF">2026-04-08T11:45:35Z</dcterms:modified>
</cp:coreProperties>
</file>