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[3];</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[4];</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 [5].</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использована нормативная ссылка на следующий документ:</w:t>
      </w:r>
    </w:p>
    <w:p>
      <w:pPr>
        <w:pStyle w:val="BodyText"/>
        <w:jc w:val="both"/>
        <w:spacing w:before="180" w:after="0" w:line="276" w:lineRule="auto"/>
      </w:pPr>
      <w:r>
        <w:rPr>
          <w:rFonts w:ascii="Times New Roman" w:hAnsi="Times New Roman" w:cs="Times New Roman" w:eastAsia="Times New Roman"/>
          <w:sz w:val="24"/>
          <w:szCs w:val="24"/>
        </w:rPr>
        <w:t xml:space="preserve">ПНСТ 995–2024 Системы киберфизические. Персональные медицинские помощники. Форматы обмена данными. Общие требования</w:t>
      </w:r>
    </w:p>
    <w:p>
      <w:pPr>
        <w:pStyle w:val="BodyText"/>
        <w:jc w:val="both"/>
        <w:spacing w:before="180" w:after="0" w:line="276" w:lineRule="auto"/>
      </w:pPr>
      <w:r>
        <w:rPr>
          <w:rFonts w:ascii="Times New Roman" w:hAnsi="Times New Roman" w:cs="Times New Roman" w:eastAsia="Times New Roman"/>
          <w:sz w:val="24"/>
          <w:szCs w:val="24"/>
        </w:rPr>
        <w:t xml:space="preserve">П р и м е ч а н и е — При пользовании настоящим стандартом целесообразно проверить действие ссылочного документа в информационной системе общего пользования — на официальном сайте Федерального агентства по техническому регулированию и метрологии в сети Интернет или по ежегодному информационному указателю «Национальные стандарты», опубликованному по состоянию на 1 января текущего года, и по выпускам ежемесячного информационного указателя «Национальные стандарты» за текущий год. Если ссылочный документ заменен (изменен), то при пользовании настоящим стандартом следует руководствоваться заменяющим (измененным) документом. Если ссылочный документ отменен без замены, то положение, в котором дана ссылка на него, применяется в части, не затрагивающей эту ссылку.</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[1].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 [2].</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[6]).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[7],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 Если значение, отличающее срез, формируется динамически и не может быть задано фиксированным значением или шаблоном FHIR, допускается открытая нарезка без явно заданного discriminator. В этом случае принадлежность элемента срезу определяется по совокупности ограничений среза; такой способ должен применяться только при явном обосновании и сопровождаться машиночитаемым инвариантом, поскольку он сложнее для автоматической обработки.</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0"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набора версий документа, соответствующего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формируется по правилам СЭМД в URI-форме OID 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может содержать дочерние узлы. Идентификатор конкретной версии документа 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относится к документному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в данном профиле не моделируется.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Определена открытая нарезка без discriminator для динамически формируемой системы идентификатора.</w:t>
            </w:r>
          </w:p>
        </w:tc>
      </w:tr>
      <w:tr>
        <w:tc>
          <w:tcPr/>
          <w:p>
            <w:pPr>
              <w:pStyle w:val="Compact"/>
            </w:pPr>
            <w:r>
              <w:rPr>
                <w:rStyle w:val="VerbatimChar"/>
                <w:sz w:val="20"/>
                <w:szCs w:val="20"/>
              </w:rPr>
              <w:t xml:space="preserve">identifier:misDocumentSet</w:t>
            </w:r>
          </w:p>
        </w:tc>
        <w:tc>
          <w:tcPr/>
          <w:p>
            <w:pPr>
              <w:pStyle w:val="Compact"/>
            </w:pPr>
            <w:r>
              <w:rPr>
                <w:sz w:val="20"/>
                <w:szCs w:val="20"/>
              </w:rPr>
              <w:t xml:space="preserve">Идентификатор набора версий документа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Соответствует CDA</w:t>
            </w:r>
            <w:r>
              <w:rPr>
                <w:sz w:val="20"/>
                <w:szCs w:val="20"/>
              </w:rPr>
              <w:t xml:space="preserve"> </w:t>
            </w:r>
            <w:r>
              <w:rPr>
                <w:rStyle w:val="VerbatimChar"/>
                <w:sz w:val="20"/>
                <w:szCs w:val="20"/>
              </w:rPr>
              <w:t xml:space="preserve">setId</w:t>
            </w:r>
            <w:r>
              <w:rPr>
                <w:sz w:val="20"/>
                <w:szCs w:val="20"/>
              </w:rPr>
              <w:t xml:space="preserve">; использование среза необязательно.</w:t>
            </w:r>
          </w:p>
        </w:tc>
      </w:tr>
      <w:tr>
        <w:tc>
          <w:tcPr/>
          <w:p>
            <w:pPr>
              <w:pStyle w:val="Compact"/>
            </w:pPr>
            <w:r>
              <w:rPr>
                <w:rStyle w:val="VerbatimChar"/>
                <w:sz w:val="20"/>
                <w:szCs w:val="20"/>
              </w:rPr>
              <w:t xml:space="preserve">identifier:misDocumentSet.system</w:t>
            </w:r>
          </w:p>
        </w:tc>
        <w:tc>
          <w:tcPr/>
          <w:p>
            <w:pPr>
              <w:pStyle w:val="Compact"/>
            </w:pPr>
            <w:r>
              <w:rPr>
                <w:sz w:val="20"/>
                <w:szCs w:val="20"/>
              </w:rPr>
              <w:t xml:space="preserve">Пространство идентификатора набора документов.</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должно иметь вид</w:t>
            </w:r>
            <w:r>
              <w:rPr>
                <w:sz w:val="20"/>
                <w:szCs w:val="20"/>
              </w:rPr>
              <w:t xml:space="preserve"> </w:t>
            </w:r>
            <w:r>
              <w:rPr>
                <w:rStyle w:val="VerbatimChar"/>
                <w:sz w:val="20"/>
                <w:szCs w:val="20"/>
              </w:rPr>
              <w:t xml:space="preserve">urn:oid:&lt;OID медицинской организации&gt;.&lt;ветка МИС&gt;.&lt;номер МИС&gt;.&lt;номер экземпляра МИС&gt;.50[.&lt;дочерний узел&gt;...]</w:t>
            </w:r>
            <w:r>
              <w:rPr>
                <w:sz w:val="20"/>
                <w:szCs w:val="20"/>
              </w:rPr>
              <w:t xml:space="preserve">.</w:t>
            </w:r>
          </w:p>
        </w:tc>
      </w:tr>
      <w:tr>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идентификатора набора документов.</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Определена открытая нарезка без discriminator; допускается добавление других срезов идентификаторов.</w:t>
            </w:r>
          </w:p>
        </w:tc>
      </w:tr>
      <w:tr>
        <w:tc>
          <w:tcPr/>
          <w:p>
            <w:pPr>
              <w:pStyle w:val="Compact"/>
            </w:pPr>
            <w:r>
              <w:rPr>
                <w:rStyle w:val="VerbatimChar"/>
                <w:sz w:val="20"/>
                <w:szCs w:val="20"/>
              </w:rPr>
              <w:t xml:space="preserve">core-composition-mis-document-set-system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identifier:misDocumentSet</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50</w:t>
            </w:r>
            <w:r>
              <w:rPr>
                <w:sz w:val="20"/>
                <w:szCs w:val="20"/>
              </w:rPr>
              <w:t xml:space="preserve"> </w:t>
            </w:r>
            <w:r>
              <w:rPr>
                <w:sz w:val="20"/>
                <w:szCs w:val="20"/>
              </w:rPr>
              <w:t xml:space="preserve">и необязательными дочерними узлами.</w:t>
            </w:r>
          </w:p>
        </w:tc>
      </w:tr>
      <w:tr>
        <w:tc>
          <w:tcPr/>
          <w:p>
            <w:pPr>
              <w:pStyle w:val="Compact"/>
            </w:pPr>
            <w:r>
              <w:rPr>
                <w:rStyle w:val="VerbatimChar"/>
                <w:sz w:val="20"/>
                <w:szCs w:val="20"/>
              </w:rPr>
              <w:t xml:space="preserve">core-composition-5</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core-composition-6</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набора версий документа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Поскольку динамическая система не дает фиксированного discriminator, строгую проверку принадлежности идентификатора срезу обеспечивают системы СЭМД и наследованные прикладные профили.</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core-coverage-10</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случая оказания помощи, номера стационарной карты и идентификатора амбулаторного случая или посещения по правилам СЭМД введены необязательные срезы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identifier:misEncounter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identifier:misInpatientRecord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identifier:misAmbulatoryEncounter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типовыми узлами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15</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17</w:t>
      </w:r>
      <w:r>
        <w:rPr>
          <w:rFonts w:ascii="Times New Roman" w:hAnsi="Times New Roman" w:cs="Times New Roman" w:eastAsia="Times New Roman"/>
          <w:sz w:val="24"/>
          <w:szCs w:val="24"/>
        </w:rPr>
        <w:t xml:space="preserve">. Динамические системы передаются в URI-форме OID и могут содержать дочерние узлы после типового узла.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Определена открытая нарезка без discriminator для динамически формируемых систем идентификаторов.</w:t>
            </w:r>
          </w:p>
        </w:tc>
      </w:tr>
      <w:tr>
        <w:tc>
          <w:tcPr/>
          <w:p>
            <w:pPr>
              <w:pStyle w:val="Compact"/>
            </w:pPr>
            <w:r>
              <w:rPr>
                <w:rStyle w:val="VerbatimChar"/>
                <w:sz w:val="20"/>
                <w:szCs w:val="20"/>
              </w:rPr>
              <w:t xml:space="preserve">identifier:misEncounter</w:t>
            </w:r>
          </w:p>
        </w:tc>
        <w:tc>
          <w:tcPr/>
          <w:p>
            <w:pPr>
              <w:pStyle w:val="Compact"/>
            </w:pPr>
            <w:r>
              <w:rPr>
                <w:sz w:val="20"/>
                <w:szCs w:val="20"/>
              </w:rPr>
              <w:t xml:space="preserve">Идентификатор случая оказания медицинской помощи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Используется система с типовым узлом</w:t>
            </w:r>
            <w:r>
              <w:rPr>
                <w:sz w:val="20"/>
                <w:szCs w:val="20"/>
              </w:rPr>
              <w:t xml:space="preserve"> </w:t>
            </w:r>
            <w:r>
              <w:rPr>
                <w:rStyle w:val="VerbatimChar"/>
                <w:sz w:val="20"/>
                <w:szCs w:val="20"/>
              </w:rPr>
              <w:t xml:space="preserve">15</w:t>
            </w:r>
            <w:r>
              <w:rPr>
                <w:sz w:val="20"/>
                <w:szCs w:val="20"/>
              </w:rPr>
              <w:t xml:space="preserve">; срез необязателен.</w:t>
            </w:r>
          </w:p>
        </w:tc>
      </w:tr>
      <w:tr>
        <w:tc>
          <w:tcPr/>
          <w:p>
            <w:pPr>
              <w:pStyle w:val="Compact"/>
            </w:pPr>
            <w:r>
              <w:rPr>
                <w:rStyle w:val="VerbatimChar"/>
                <w:sz w:val="20"/>
                <w:szCs w:val="20"/>
              </w:rPr>
              <w:t xml:space="preserve">identifier:misEncounter.system</w:t>
            </w:r>
          </w:p>
        </w:tc>
        <w:tc>
          <w:tcPr/>
          <w:p>
            <w:pPr>
              <w:pStyle w:val="Compact"/>
            </w:pPr>
            <w:r>
              <w:rPr>
                <w:sz w:val="20"/>
                <w:szCs w:val="20"/>
              </w:rPr>
              <w:t xml:space="preserve">Пространство идентификатора случая.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URI-форма OID с узлом</w:t>
            </w:r>
            <w:r>
              <w:rPr>
                <w:sz w:val="20"/>
                <w:szCs w:val="20"/>
              </w:rPr>
              <w:t xml:space="preserve"> </w:t>
            </w:r>
            <w:r>
              <w:rPr>
                <w:rStyle w:val="VerbatimChar"/>
                <w:sz w:val="20"/>
                <w:szCs w:val="20"/>
              </w:rPr>
              <w:t xml:space="preserve">15</w:t>
            </w:r>
            <w:r>
              <w:rPr>
                <w:sz w:val="20"/>
                <w:szCs w:val="20"/>
              </w:rPr>
              <w:t xml:space="preserve"> </w:t>
            </w:r>
            <w:r>
              <w:rPr>
                <w:sz w:val="20"/>
                <w:szCs w:val="20"/>
              </w:rPr>
              <w:t xml:space="preserve">и необязательными дочерними узлами.</w:t>
            </w:r>
          </w:p>
        </w:tc>
      </w:tr>
      <w:tr>
        <w:tc>
          <w:tcPr/>
          <w:p>
            <w:pPr>
              <w:pStyle w:val="Compact"/>
            </w:pPr>
            <w:r>
              <w:rPr>
                <w:rStyle w:val="VerbatimChar"/>
                <w:sz w:val="20"/>
                <w:szCs w:val="20"/>
              </w:rPr>
              <w:t xml:space="preserve">identifier:misEncounter.value</w:t>
            </w:r>
          </w:p>
        </w:tc>
        <w:tc>
          <w:tcPr/>
          <w:p>
            <w:pPr>
              <w:pStyle w:val="Compact"/>
            </w:pPr>
            <w:r>
              <w:rPr>
                <w:sz w:val="20"/>
                <w:szCs w:val="20"/>
              </w:rPr>
              <w:t xml:space="preserve">Значение идентификатора случая.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identifier:misInpatientRecord</w:t>
            </w:r>
          </w:p>
        </w:tc>
        <w:tc>
          <w:tcPr/>
          <w:p>
            <w:pPr>
              <w:pStyle w:val="Compact"/>
            </w:pPr>
            <w:r>
              <w:rPr>
                <w:sz w:val="20"/>
                <w:szCs w:val="20"/>
              </w:rPr>
              <w:t xml:space="preserve">Номер стационарной медицинской карты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Используется система с типовым узлом</w:t>
            </w:r>
            <w:r>
              <w:rPr>
                <w:sz w:val="20"/>
                <w:szCs w:val="20"/>
              </w:rPr>
              <w:t xml:space="preserve"> </w:t>
            </w:r>
            <w:r>
              <w:rPr>
                <w:rStyle w:val="VerbatimChar"/>
                <w:sz w:val="20"/>
                <w:szCs w:val="20"/>
              </w:rPr>
              <w:t xml:space="preserve">16</w:t>
            </w:r>
            <w:r>
              <w:rPr>
                <w:sz w:val="20"/>
                <w:szCs w:val="20"/>
              </w:rPr>
              <w:t xml:space="preserve">; срез необязателен.</w:t>
            </w:r>
          </w:p>
        </w:tc>
      </w:tr>
      <w:tr>
        <w:tc>
          <w:tcPr/>
          <w:p>
            <w:pPr>
              <w:pStyle w:val="Compact"/>
            </w:pPr>
            <w:r>
              <w:rPr>
                <w:rStyle w:val="VerbatimChar"/>
                <w:sz w:val="20"/>
                <w:szCs w:val="20"/>
              </w:rPr>
              <w:t xml:space="preserve">identifier:misInpatientRecord.system</w:t>
            </w:r>
          </w:p>
        </w:tc>
        <w:tc>
          <w:tcPr/>
          <w:p>
            <w:pPr>
              <w:pStyle w:val="Compact"/>
            </w:pPr>
            <w:r>
              <w:rPr>
                <w:sz w:val="20"/>
                <w:szCs w:val="20"/>
              </w:rPr>
              <w:t xml:space="preserve">Пространство номера стационарной карты.</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URI-форма OID с узлом</w:t>
            </w:r>
            <w:r>
              <w:rPr>
                <w:sz w:val="20"/>
                <w:szCs w:val="20"/>
              </w:rPr>
              <w:t xml:space="preserve"> </w:t>
            </w:r>
            <w:r>
              <w:rPr>
                <w:rStyle w:val="VerbatimChar"/>
                <w:sz w:val="20"/>
                <w:szCs w:val="20"/>
              </w:rPr>
              <w:t xml:space="preserve">16</w:t>
            </w:r>
            <w:r>
              <w:rPr>
                <w:sz w:val="20"/>
                <w:szCs w:val="20"/>
              </w:rPr>
              <w:t xml:space="preserve"> </w:t>
            </w:r>
            <w:r>
              <w:rPr>
                <w:sz w:val="20"/>
                <w:szCs w:val="20"/>
              </w:rPr>
              <w:t xml:space="preserve">и необязательными дочерними узлами.</w:t>
            </w:r>
          </w:p>
        </w:tc>
      </w:tr>
      <w:tr>
        <w:tc>
          <w:tcPr/>
          <w:p>
            <w:pPr>
              <w:pStyle w:val="Compact"/>
            </w:pPr>
            <w:r>
              <w:rPr>
                <w:rStyle w:val="VerbatimChar"/>
                <w:sz w:val="20"/>
                <w:szCs w:val="20"/>
              </w:rPr>
              <w:t xml:space="preserve">identifier:misInpatientRecord.value</w:t>
            </w:r>
          </w:p>
        </w:tc>
        <w:tc>
          <w:tcPr/>
          <w:p>
            <w:pPr>
              <w:pStyle w:val="Compact"/>
            </w:pPr>
            <w:r>
              <w:rPr>
                <w:sz w:val="20"/>
                <w:szCs w:val="20"/>
              </w:rPr>
              <w:t xml:space="preserve">Номер стационарной карты.</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identifier:misAmbulatoryEncounter</w:t>
            </w:r>
          </w:p>
        </w:tc>
        <w:tc>
          <w:tcPr/>
          <w:p>
            <w:pPr>
              <w:pStyle w:val="Compact"/>
            </w:pPr>
            <w:r>
              <w:rPr>
                <w:sz w:val="20"/>
                <w:szCs w:val="20"/>
              </w:rPr>
              <w:t xml:space="preserve">Идентификатор амбулаторного случая или посещения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Может передаваться как номер амбулаторной карты; используется система с типовым узлом</w:t>
            </w:r>
            <w:r>
              <w:rPr>
                <w:sz w:val="20"/>
                <w:szCs w:val="20"/>
              </w:rPr>
              <w:t xml:space="preserve"> </w:t>
            </w:r>
            <w:r>
              <w:rPr>
                <w:rStyle w:val="VerbatimChar"/>
                <w:sz w:val="20"/>
                <w:szCs w:val="20"/>
              </w:rPr>
              <w:t xml:space="preserve">17</w:t>
            </w:r>
            <w:r>
              <w:rPr>
                <w:sz w:val="20"/>
                <w:szCs w:val="20"/>
              </w:rPr>
              <w:t xml:space="preserve">; срез необязателен.</w:t>
            </w:r>
          </w:p>
        </w:tc>
      </w:tr>
      <w:tr>
        <w:tc>
          <w:tcPr/>
          <w:p>
            <w:pPr>
              <w:pStyle w:val="Compact"/>
            </w:pPr>
            <w:r>
              <w:rPr>
                <w:rStyle w:val="VerbatimChar"/>
                <w:sz w:val="20"/>
                <w:szCs w:val="20"/>
              </w:rPr>
              <w:t xml:space="preserve">identifier:misAmbulatoryEncounter.system</w:t>
            </w:r>
          </w:p>
        </w:tc>
        <w:tc>
          <w:tcPr/>
          <w:p>
            <w:pPr>
              <w:pStyle w:val="Compact"/>
            </w:pPr>
            <w:r>
              <w:rPr>
                <w:sz w:val="20"/>
                <w:szCs w:val="20"/>
              </w:rPr>
              <w:t xml:space="preserve">Пространство идентификатора амбулаторного случая или посещения.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URI-форма OID с узлом</w:t>
            </w:r>
            <w:r>
              <w:rPr>
                <w:sz w:val="20"/>
                <w:szCs w:val="20"/>
              </w:rPr>
              <w:t xml:space="preserve"> </w:t>
            </w:r>
            <w:r>
              <w:rPr>
                <w:rStyle w:val="VerbatimChar"/>
                <w:sz w:val="20"/>
                <w:szCs w:val="20"/>
              </w:rPr>
              <w:t xml:space="preserve">17</w:t>
            </w:r>
            <w:r>
              <w:rPr>
                <w:sz w:val="20"/>
                <w:szCs w:val="20"/>
              </w:rPr>
              <w:t xml:space="preserve"> </w:t>
            </w:r>
            <w:r>
              <w:rPr>
                <w:sz w:val="20"/>
                <w:szCs w:val="20"/>
              </w:rPr>
              <w:t xml:space="preserve">и необязательными дочерними узлами.</w:t>
            </w:r>
          </w:p>
        </w:tc>
      </w:tr>
      <w:tr>
        <w:tc>
          <w:tcPr/>
          <w:p>
            <w:pPr>
              <w:pStyle w:val="Compact"/>
            </w:pPr>
            <w:r>
              <w:rPr>
                <w:rStyle w:val="VerbatimChar"/>
                <w:sz w:val="20"/>
                <w:szCs w:val="20"/>
              </w:rPr>
              <w:t xml:space="preserve">identifier:misAmbulatoryEncounter.value</w:t>
            </w:r>
          </w:p>
        </w:tc>
        <w:tc>
          <w:tcPr/>
          <w:p>
            <w:pPr>
              <w:pStyle w:val="Compact"/>
            </w:pPr>
            <w:r>
              <w:rPr>
                <w:sz w:val="20"/>
                <w:szCs w:val="20"/>
              </w:rPr>
              <w:t xml:space="preserve">Значение идентификатора амбулаторного случая или посещения.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core-encounter-slicing</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Определена открытая нарезка без discriminator; допускаются другие идентификаторы.</w:t>
            </w:r>
          </w:p>
        </w:tc>
      </w:tr>
      <w:tr>
        <w:tc>
          <w:tcPr/>
          <w:p>
            <w:pPr>
              <w:pStyle w:val="Compact"/>
            </w:pPr>
            <w:r>
              <w:rPr>
                <w:rStyle w:val="VerbatimChar"/>
                <w:sz w:val="20"/>
                <w:szCs w:val="20"/>
              </w:rPr>
              <w:t xml:space="preserve">core-encounter-mis-encounter-system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core-encounter-mis-inpatient-system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identifier:misInpatientRecord</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core-encounter-mis-ambulatory-system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identifier:misAmbulatoryEncounter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core-encounter-identifier-cardinality</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identifier:&lt;срез&gt;.system</w:t>
            </w:r>
            <w:r>
              <w:rPr>
                <w:sz w:val="20"/>
                <w:szCs w:val="20"/>
              </w:rPr>
              <w:t xml:space="preserve">,</w:t>
            </w:r>
            <w:r>
              <w:rPr>
                <w:sz w:val="20"/>
                <w:szCs w:val="20"/>
              </w:rPr>
              <w:t xml:space="preserve"> </w:t>
            </w:r>
            <w:r>
              <w:rPr>
                <w:rStyle w:val="VerbatimChar"/>
                <w:sz w:val="20"/>
                <w:szCs w:val="20"/>
              </w:rPr>
              <w:t xml:space="preserve">identifier:&lt;срез&gt;.value</w:t>
            </w:r>
          </w:p>
        </w:tc>
        <w:tc>
          <w:tcPr/>
          <w:p>
            <w:pPr>
              <w:pStyle w:val="Compact"/>
            </w:pPr>
            <w:r>
              <w:rPr>
                <w:sz w:val="20"/>
                <w:szCs w:val="20"/>
              </w:rPr>
              <w:t xml:space="preserve">При использовании каждого среза система и значение обязательны.</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Номер стационарной карты и идентификатор амбулаторного случая или посещения передаются в идентификаторе того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с которым они связаны; эти значения не объявляются синонимами общего идентификатора случая.</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Поскольку динамические системы не дают фиксированного discriminator, строгую проверку принадлежности идентификаторов срезам обеспечивают системы СЭМД и наследованные прикладные профили.</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В типе полиса ОМС обязательны два кодирования: фиксированный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из справочника видов полиса ОМС.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локального идентификатора роли сотрудника в экземпляре МИС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формируется по правилам СЭМД в URI-форме OID и проверяется инвариантом. Поскольку OID зависит от медицинской организации, МИС и экземпляра МИС, фиксированное значение discriminator отсутствует, а принадлежность срезу определяется по совокупности его ограничений.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Определена открытая нарезка без discriminator для динамически формируемых систем идентификаторов.</w:t>
            </w:r>
          </w:p>
        </w:tc>
      </w:tr>
      <w:tr>
        <w:tc>
          <w:tcPr/>
          <w:p>
            <w:pPr>
              <w:pStyle w:val="Compact"/>
            </w:pPr>
            <w:r>
              <w:rPr>
                <w:rStyle w:val="VerbatimChar"/>
                <w:sz w:val="20"/>
                <w:szCs w:val="20"/>
              </w:rPr>
              <w:t xml:space="preserve">identifier:misPractitionerRole</w:t>
            </w:r>
          </w:p>
        </w:tc>
        <w:tc>
          <w:tcPr/>
          <w:p>
            <w:pPr>
              <w:pStyle w:val="Compact"/>
            </w:pPr>
            <w:r>
              <w:rPr>
                <w:sz w:val="20"/>
                <w:szCs w:val="20"/>
              </w:rPr>
              <w:t xml:space="preserve">Идентификатор роли медицинского работника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Локальный идентификатор передается по правилам СЭМД. Использование среза необязательно.</w:t>
            </w:r>
          </w:p>
        </w:tc>
      </w:tr>
      <w:tr>
        <w:tc>
          <w:tcPr/>
          <w:p>
            <w:pPr>
              <w:pStyle w:val="Compact"/>
            </w:pPr>
            <w:r>
              <w:rPr>
                <w:rStyle w:val="VerbatimChar"/>
                <w:sz w:val="20"/>
                <w:szCs w:val="20"/>
              </w:rPr>
              <w:t xml:space="preserve">identifier:misPractitionerRole.system</w:t>
            </w:r>
          </w:p>
        </w:tc>
        <w:tc>
          <w:tcPr/>
          <w:p>
            <w:pPr>
              <w:pStyle w:val="Compact"/>
            </w:pPr>
            <w:r>
              <w:rPr>
                <w:sz w:val="20"/>
                <w:szCs w:val="20"/>
              </w:rPr>
              <w:t xml:space="preserve">Пространство идентификатора роли в МИС.</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должно иметь вид</w:t>
            </w:r>
            <w:r>
              <w:rPr>
                <w:sz w:val="20"/>
                <w:szCs w:val="20"/>
              </w:rPr>
              <w:t xml:space="preserve"> </w:t>
            </w:r>
            <w:r>
              <w:rPr>
                <w:rStyle w:val="VerbatimChar"/>
                <w:sz w:val="20"/>
                <w:szCs w:val="20"/>
              </w:rPr>
              <w:t xml:space="preserve">urn:oid:&lt;OID медицинской организации&gt;.&lt;ветка МИС&gt;.&lt;номер МИС&gt;.&lt;номер экземпляра МИС&gt;.70[.&lt;дочерний узел&gt;...]</w:t>
            </w:r>
            <w:r>
              <w:rPr>
                <w:sz w:val="20"/>
                <w:szCs w:val="20"/>
              </w:rPr>
              <w:t xml:space="preserve">.</w:t>
            </w:r>
          </w:p>
        </w:tc>
      </w:tr>
      <w:tr>
        <w:tc>
          <w:tcPr/>
          <w:p>
            <w:pPr>
              <w:pStyle w:val="Compact"/>
            </w:pPr>
            <w:r>
              <w:rPr>
                <w:rStyle w:val="VerbatimChar"/>
                <w:sz w:val="20"/>
                <w:szCs w:val="20"/>
              </w:rPr>
              <w:t xml:space="preserve">identifier:misPractitionerRole.value</w:t>
            </w:r>
          </w:p>
        </w:tc>
        <w:tc>
          <w:tcPr/>
          <w:p>
            <w:pPr>
              <w:pStyle w:val="Compact"/>
            </w:pPr>
            <w:r>
              <w:rPr>
                <w:sz w:val="20"/>
                <w:szCs w:val="20"/>
              </w:rPr>
              <w:t xml:space="preserve">Локальное значение идентификатора роли в МИС.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Определена открытая нарезка без discriminator; допускается добавление других срезов идентификаторов.</w:t>
            </w:r>
          </w:p>
        </w:tc>
      </w:tr>
      <w:tr>
        <w:tc>
          <w:tcPr/>
          <w:p>
            <w:pPr>
              <w:pStyle w:val="Compact"/>
            </w:pPr>
            <w:r>
              <w:rPr>
                <w:rStyle w:val="VerbatimChar"/>
                <w:sz w:val="20"/>
                <w:szCs w:val="20"/>
              </w:rPr>
              <w:t xml:space="preserve">core-practitionerrole-mis-system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identifier:misPractitionerRole</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70</w:t>
            </w:r>
            <w:r>
              <w:rPr>
                <w:sz w:val="20"/>
                <w:szCs w:val="20"/>
              </w:rPr>
              <w:t xml:space="preserve"> </w:t>
            </w:r>
            <w:r>
              <w:rPr>
                <w:sz w:val="20"/>
                <w:szCs w:val="20"/>
              </w:rPr>
              <w:t xml:space="preserve">и необязательными дочерними узлами.</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core-practitionerrole-3</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identifier:misPractitionerRole.value</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core-practitionerrole-4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роли в МИС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 по правилам среза.</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структура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urn:oid:&lt;OID медицинской организации&gt;.&lt;ветка МИС&gt;.&lt;номер МИС&gt;.&lt;номер экземпляра МИС&gt;.70[.&lt;дочерний узел&gt;...]</w:t>
      </w:r>
      <w:r>
        <w:rPr>
          <w:rFonts w:ascii="Times New Roman" w:hAnsi="Times New Roman" w:cs="Times New Roman" w:eastAsia="Times New Roman"/>
          <w:sz w:val="24"/>
          <w:szCs w:val="24"/>
        </w:rPr>
        <w:t xml:space="preserve">. Для ветки МИС обычно применяется узел</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если он уже занят, допускается другой узел при сохранении структуры дочерних OID.</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09"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9"/>
    <w:bookmarkEnd w:id="110"/>
    <w:bookmarkStart w:id="132"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[1] HL7 FHIR Release 5, version 5.0.0.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https://hl7.org/fhir/R5/</w:t>
      </w:r>
    </w:p>
    <w:p>
      <w:pPr>
        <w:pStyle w:val="BodyText"/>
        <w:jc w:val="both"/>
        <w:spacing w:before="180" w:after="0" w:line="276" w:lineRule="auto"/>
      </w:pPr>
      <w:r>
        <w:rPr>
          <w:rFonts w:ascii="Times New Roman" w:hAnsi="Times New Roman" w:cs="Times New Roman" w:eastAsia="Times New Roman"/>
          <w:sz w:val="24"/>
          <w:szCs w:val="24"/>
        </w:rPr>
        <w:t xml:space="preserve">[2] ISO/IEC 11179-1:2023 Information technology — Metadata registries (MDR) — Part 1: Framework</w:t>
      </w:r>
    </w:p>
    <w:p>
      <w:pPr>
        <w:pStyle w:val="BodyText"/>
        <w:jc w:val="both"/>
        <w:spacing w:before="180" w:after="0" w:line="276" w:lineRule="auto"/>
      </w:pPr>
      <w:r>
        <w:rPr>
          <w:rFonts w:ascii="Times New Roman" w:hAnsi="Times New Roman" w:cs="Times New Roman" w:eastAsia="Times New Roman"/>
          <w:sz w:val="24"/>
          <w:szCs w:val="24"/>
        </w:rPr>
        <w:t xml:space="preserve">[3] HL7 FHIR Shorthand, version 3.0.0.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https://hl7.org/fhir/uv/shorthand/</w:t>
      </w:r>
    </w:p>
    <w:p>
      <w:pPr>
        <w:pStyle w:val="BodyText"/>
        <w:jc w:val="both"/>
        <w:spacing w:before="180" w:after="0" w:line="276" w:lineRule="auto"/>
      </w:pPr>
      <w:r>
        <w:rPr>
          <w:rFonts w:ascii="Times New Roman" w:hAnsi="Times New Roman" w:cs="Times New Roman" w:eastAsia="Times New Roman"/>
          <w:sz w:val="24"/>
          <w:szCs w:val="24"/>
        </w:rPr>
        <w:t xml:space="preserve">[4] HL7 FHIR Implementation Guide Publisher.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https://confluence.hl7.org/display/FHIR/IG+Publisher+Documentation</w:t>
      </w:r>
    </w:p>
    <w:p>
      <w:pPr>
        <w:pStyle w:val="BodyText"/>
        <w:jc w:val="both"/>
        <w:spacing w:before="180" w:after="0" w:line="276" w:lineRule="auto"/>
      </w:pPr>
      <w:r>
        <w:rPr>
          <w:rFonts w:ascii="Times New Roman" w:hAnsi="Times New Roman" w:cs="Times New Roman" w:eastAsia="Times New Roman"/>
          <w:sz w:val="24"/>
          <w:szCs w:val="24"/>
        </w:rPr>
        <w:t xml:space="preserve">[5] HAPI FHIR: Open Source FHIR API for Java.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https://hapifhir.io/</w:t>
      </w:r>
    </w:p>
    <w:p>
      <w:pPr>
        <w:pStyle w:val="BodyText"/>
        <w:jc w:val="both"/>
        <w:spacing w:before="180" w:after="0" w:line="276" w:lineRule="auto"/>
      </w:pPr>
      <w:r>
        <w:rPr>
          <w:rFonts w:ascii="Times New Roman" w:hAnsi="Times New Roman" w:cs="Times New Roman" w:eastAsia="Times New Roman"/>
          <w:sz w:val="24"/>
          <w:szCs w:val="24"/>
        </w:rPr>
        <w:t xml:space="preserve">[6] RuCore — российское базовое руководство по реализации HL7 FHIR R5.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w:t>
      </w:r>
    </w:p>
    <w:p>
      <w:pPr>
        <w:pStyle w:val="BodyText"/>
        <w:jc w:val="both"/>
        <w:spacing w:before="180" w:after="0" w:line="276" w:lineRule="auto"/>
      </w:pPr>
      <w:r>
        <w:rPr>
          <w:rFonts w:ascii="Times New Roman" w:hAnsi="Times New Roman" w:cs="Times New Roman" w:eastAsia="Times New Roman"/>
          <w:sz w:val="24"/>
          <w:szCs w:val="24"/>
        </w:rPr>
        <w:t xml:space="preserve">[7] Федеральный реестр нормативно-справочной информации в сфере здравоохранения.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w:t>
      </w:r>
    </w:p>
    <w:bookmarkStart w:id="119"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17"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17"/>
    <w:bookmarkStart w:id="118"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18"/>
    <w:bookmarkEnd w:id="119"/>
    <w:bookmarkStart w:id="131"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20"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20"/>
    <w:bookmarkStart w:id="121"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21"/>
    <w:bookmarkStart w:id="122"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22"/>
    <w:bookmarkStart w:id="123"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23"/>
    <w:bookmarkStart w:id="124"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24"/>
    <w:bookmarkStart w:id="125"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25"/>
    <w:bookmarkStart w:id="126"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26"/>
    <w:bookmarkStart w:id="127"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27"/>
    <w:bookmarkStart w:id="128"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28"/>
    <w:bookmarkStart w:id="129"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29"/>
    <w:bookmarkStart w:id="130"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30"/>
    <w:bookmarkEnd w:id="131"/>
    <w:bookmarkEnd w:id="132"/>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113" Target="https://confluence.hl7.org/display/FHIR/IG+Publisher+Documentation" TargetMode="External" /><Relationship Type="http://schemas.openxmlformats.org/officeDocument/2006/relationships/hyperlink" Id="rId115" Target="https://fhir.ru/ig/core/" TargetMode="External" /><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114" Target="https://hapifhir.io/" TargetMode="External" /><Relationship Type="http://schemas.openxmlformats.org/officeDocument/2006/relationships/hyperlink" Id="rId111" Target="https://hl7.org/fhir/R5/" TargetMode="External" /><Relationship Type="http://schemas.openxmlformats.org/officeDocument/2006/relationships/hyperlink" Id="rId112" Target="https://hl7.org/fhir/uv/shorthand/" TargetMode="External" /><Relationship Type="http://schemas.openxmlformats.org/officeDocument/2006/relationships/hyperlink" Id="rId116" Target="https://nsi.rosminzdrav.ru/"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2026-08-25T14:15:53Z</dcterms:created>
  <dcterms:modified xsi:type="dcterms:W3CDTF">2026-08-25T14:15:53Z</dcterms:modified>
</cp:coreProperties>
</file>

<file path=docProps/custom.xml><?xml version="1.0" encoding="utf-8"?>
<Properties xmlns="http://schemas.openxmlformats.org/officeDocument/2006/custom-properties" xmlns:vt="http://schemas.openxmlformats.org/officeDocument/2006/docPropsVTypes"/>
</file>