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26"/>
        </w:rPr>
        <w:t>HARMONIA</w:t>
      </w:r>
    </w:p>
    <w:p>
      <w:pPr>
        <w:pStyle w:val="Title"/>
        <w:jc w:val="center"/>
      </w:pPr>
      <w:r>
        <w:t>Strategic Architecture Position</w:t>
      </w:r>
    </w:p>
    <w:p>
      <w:pPr>
        <w:jc w:val="center"/>
      </w:pPr>
      <w:r>
        <w:rPr>
          <w:b/>
          <w:sz w:val="28"/>
        </w:rPr>
        <w:t>Enterprise Local Directory Capability — and its place within the broader Harmonia vision</w:t>
      </w:r>
    </w:p>
    <w:p/>
    <w:p>
      <w:pPr>
        <w:ind w:left="1008" w:right="1008"/>
        <w:jc w:val="center"/>
      </w:pPr>
      <w:r>
        <w:rPr>
          <w:i/>
          <w:sz w:val="24"/>
        </w:rPr>
        <w:t>The need for a locally governed provider and service directory was one of the core reasons for exploring Harmonia. It is not the sole purpose of Harmonia, nor should the platform be architecturally reduced to a Provider Directory or Local Directory Solution.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8"/>
              </w:rPr>
              <w:t>Status</w:t>
            </w:r>
          </w:p>
        </w:tc>
        <w:tc>
          <w:tcPr>
            <w:tcW w:type="dxa" w:w="4968"/>
            <w:vAlign w:val="center"/>
          </w:tcPr>
          <w:p>
            <w:r/>
            <w:r>
              <w:rPr>
                <w:rFonts w:ascii="Aptos" w:hAnsi="Aptos"/>
                <w:b w:val="0"/>
                <w:sz w:val="18"/>
              </w:rPr>
              <w:t>Strategic position / architecture baseline</w:t>
            </w:r>
          </w:p>
        </w:tc>
      </w:tr>
      <w:tr>
        <w:tc>
          <w:tcPr>
            <w:tcW w:type="dxa" w:w="4968"/>
            <w:vAlign w:val="center"/>
            <w:shd w:fill="D9EAF7"/>
          </w:tcPr>
          <w:p>
            <w:r/>
            <w:r>
              <w:rPr>
                <w:rFonts w:ascii="Aptos" w:hAnsi="Aptos"/>
                <w:b/>
                <w:sz w:val="18"/>
              </w:rPr>
              <w:t>Purpose</w:t>
            </w:r>
          </w:p>
        </w:tc>
        <w:tc>
          <w:tcPr>
            <w:tcW w:type="dxa" w:w="4968"/>
            <w:vAlign w:val="center"/>
          </w:tcPr>
          <w:p>
            <w:r/>
            <w:r>
              <w:rPr>
                <w:rFonts w:ascii="Aptos" w:hAnsi="Aptos"/>
                <w:b w:val="0"/>
                <w:sz w:val="18"/>
              </w:rPr>
              <w:t>Capture the Local Directory rationale before detailed implementation</w:t>
            </w:r>
          </w:p>
        </w:tc>
      </w:tr>
      <w:tr>
        <w:tc>
          <w:tcPr>
            <w:tcW w:type="dxa" w:w="4968"/>
            <w:vAlign w:val="center"/>
            <w:shd w:fill="D9EAF7"/>
          </w:tcPr>
          <w:p>
            <w:r/>
            <w:r>
              <w:rPr>
                <w:rFonts w:ascii="Aptos" w:hAnsi="Aptos"/>
                <w:b/>
                <w:sz w:val="18"/>
              </w:rPr>
              <w:t>Scope</w:t>
            </w:r>
          </w:p>
        </w:tc>
        <w:tc>
          <w:tcPr>
            <w:tcW w:type="dxa" w:w="4968"/>
            <w:vAlign w:val="center"/>
          </w:tcPr>
          <w:p>
            <w:r/>
            <w:r>
              <w:rPr>
                <w:rFonts w:ascii="Aptos" w:hAnsi="Aptos"/>
                <w:b w:val="0"/>
                <w:sz w:val="18"/>
              </w:rPr>
              <w:t>Harmonia platform, HIE Provider Directory requirements, national directory integration</w:t>
            </w:r>
          </w:p>
        </w:tc>
      </w:tr>
      <w:tr>
        <w:tc>
          <w:tcPr>
            <w:tcW w:type="dxa" w:w="4968"/>
            <w:vAlign w:val="center"/>
            <w:shd w:fill="D9EAF7"/>
          </w:tcPr>
          <w:p>
            <w:r/>
            <w:r>
              <w:rPr>
                <w:rFonts w:ascii="Aptos" w:hAnsi="Aptos"/>
                <w:b/>
                <w:sz w:val="18"/>
              </w:rPr>
              <w:t>Date</w:t>
            </w:r>
          </w:p>
        </w:tc>
        <w:tc>
          <w:tcPr>
            <w:tcW w:type="dxa" w:w="4968"/>
            <w:vAlign w:val="center"/>
          </w:tcPr>
          <w:p>
            <w:r/>
            <w:r>
              <w:rPr>
                <w:rFonts w:ascii="Aptos" w:hAnsi="Aptos"/>
                <w:b w:val="0"/>
                <w:sz w:val="18"/>
              </w:rPr>
              <w:t>24 September 2026</w:t>
            </w:r>
          </w:p>
        </w:tc>
      </w:tr>
    </w:tbl>
    <w:p>
      <w:r>
        <w:br w:type="page"/>
      </w:r>
    </w:p>
    <w:p>
      <w:pPr>
        <w:pStyle w:val="Heading1"/>
      </w:pPr>
      <w:r>
        <w:t>1. Executive Position</w:t>
      </w:r>
    </w:p>
    <w:p>
      <w:r>
        <w:t>Harmonia is conceived as a reusable health interoperability and information-management platform. A significant motivating use case is the need for an enterprise Local Directory capability: a locally usable, governed and enriched representation of healthcare practitioners, organisations, roles, locations, services and electronic service endpoints. This capability should be aligned with the emerging Australian Local Directory Solution (LDS) pattern, while remaining independent of any single national product or transport.</w:t>
      </w:r>
    </w:p>
    <w:p>
      <w:r>
        <w:t>This Local Directory role is deliberately only one Harmonia role. The same platform foundations — canonical information models, interoperability adapters, durable persistence, workflow, messaging, terminology, security, provenance, audit and user interfaces — are intended to support other health information problems, including patient identity, clinical interoperability, longitudinal clinical information, consent/information sharing and cross-domain workflow.</w:t>
      </w:r>
    </w:p>
    <w:p>
      <w:pPr>
        <w:pStyle w:val="Heading1"/>
      </w:pPr>
      <w:r>
        <w:t>2. Strategic Drivers</w:t>
      </w:r>
    </w:p>
    <w:p>
      <w:pPr>
        <w:pStyle w:val="ListBullet"/>
        <w:spacing w:after="40"/>
      </w:pPr>
      <w:r>
        <w:t>Provide a coherent enterprise representation of provider, organisation, location, service and endpoint information rather than requiring every consuming system to integrate independently with every source.</w:t>
      </w:r>
    </w:p>
    <w:p>
      <w:pPr>
        <w:pStyle w:val="ListBullet"/>
        <w:spacing w:after="40"/>
      </w:pPr>
      <w:r>
        <w:t>Preserve source authority and provenance while allowing locally authoritative enrichment where national or external sources do not contain the required operational information.</w:t>
      </w:r>
    </w:p>
    <w:p>
      <w:pPr>
        <w:pStyle w:val="ListBullet"/>
        <w:spacing w:after="40"/>
      </w:pPr>
      <w:r>
        <w:t>Reduce coupling between local systems and changing national interfaces by placing external integration behind Harmonia interoperability adapters.</w:t>
      </w:r>
    </w:p>
    <w:p>
      <w:pPr>
        <w:pStyle w:val="ListBullet"/>
        <w:spacing w:after="40"/>
      </w:pPr>
      <w:r>
        <w:t>Create reusable platform capabilities rather than another isolated Provider Directory product.</w:t>
      </w:r>
    </w:p>
    <w:p>
      <w:pPr>
        <w:pStyle w:val="ListBullet"/>
        <w:spacing w:after="40"/>
      </w:pPr>
      <w:r>
        <w:t>Support standards-based discovery and exchange while retaining technology independence at the business-requirement layer.</w:t>
      </w:r>
    </w:p>
    <w:p>
      <w:pPr>
        <w:pStyle w:val="ListBullet"/>
        <w:spacing w:after="40"/>
      </w:pPr>
      <w:r>
        <w:t>Provide governance, stewardship and lifecycle management for information that cannot safely be managed as simple replicated reference data.</w:t>
      </w:r>
    </w:p>
    <w:p>
      <w:pPr>
        <w:pStyle w:val="Heading1"/>
      </w:pPr>
      <w:r>
        <w:t>3. Relationship to the Australian LDS Direction</w:t>
      </w:r>
    </w:p>
    <w:p>
      <w:r>
        <w:t>The Australian Digital Health Agency has announced that the Health Connect Australia Provider Directory is moving toward FHIR-based search/read APIs and bulk export, and that a HIPS-hosted Local Directory Solution will provide an alternative local synchronisation model. The published Provider Directory implementation material also describes standard and incremental FHIR Bulk Data export specifically for establishing and maintaining a local directory copy.</w:t>
      </w:r>
    </w:p>
    <w:p>
      <w:r>
        <w:t>Harmonia should therefore be described as providing an enterprise Local Directory capability aligned to this pattern — not as claiming to be the Agency's HIPS LDS. HIPS, direct national FHIR APIs, bulk export and future national mechanisms should be treated as possible upstream integration mechanisms.</w:t>
      </w:r>
    </w:p>
    <w:p>
      <w:pPr>
        <w:pStyle w:val="Heading1"/>
      </w:pPr>
      <w:r>
        <w:t>4. Target Architectural Role</w:t>
      </w:r>
    </w:p>
    <w:p>
      <w:r>
        <w:rPr>
          <w:b/>
        </w:rPr>
        <w:t xml:space="preserve">Architectural principle: </w:t>
      </w:r>
      <w:r>
        <w:t>Harmonia shall provide a Local Directory capability for healthcare practitioner, organisation, location, service and electronic endpoint information. The directory shall aggregate, synchronise and locally govern information from authoritative national, jurisdictional and organisational sources, retain provenance and source authority, and expose a consistent enterprise representation through standards-based interfaces.</w:t>
      </w:r>
    </w:p>
    <w:p>
      <w:r>
        <w:rPr>
          <w:b/>
        </w:rPr>
        <w:t xml:space="preserve">Authority principle: </w:t>
      </w:r>
      <w:r>
        <w:t>Harmonia shall not assume ownership of facts for which another system is the designated authoritative source. Locally authoritative information and enrichment shall coexist with externally authoritative information without obscuring origin, authority, history or confidence.</w:t>
      </w:r>
    </w:p>
    <w:p>
      <w:pPr>
        <w:pStyle w:val="Heading1"/>
      </w:pPr>
      <w:r>
        <w:t>5. Conceptual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7"/>
              </w:rPr>
              <w:t>National / External Sources</w:t>
            </w:r>
          </w:p>
        </w:tc>
        <w:tc>
          <w:tcPr>
            <w:tcW w:type="dxa" w:w="3312"/>
            <w:vAlign w:val="center"/>
            <w:shd w:fill="D9EAF7"/>
          </w:tcPr>
          <w:p>
            <w:r/>
            <w:r>
              <w:rPr>
                <w:rFonts w:ascii="Aptos" w:hAnsi="Aptos"/>
                <w:b/>
                <w:sz w:val="17"/>
              </w:rPr>
              <w:t>Harmonia Platform</w:t>
            </w:r>
          </w:p>
        </w:tc>
        <w:tc>
          <w:tcPr>
            <w:tcW w:type="dxa" w:w="3312"/>
            <w:vAlign w:val="center"/>
            <w:shd w:fill="D9EAF7"/>
          </w:tcPr>
          <w:p>
            <w:r/>
            <w:r>
              <w:rPr>
                <w:rFonts w:ascii="Aptos" w:hAnsi="Aptos"/>
                <w:b/>
                <w:sz w:val="17"/>
              </w:rPr>
              <w:t>Enterprise Consumers</w:t>
            </w:r>
          </w:p>
        </w:tc>
      </w:tr>
      <w:tr>
        <w:tc>
          <w:tcPr>
            <w:tcW w:type="dxa" w:w="3312"/>
            <w:vAlign w:val="center"/>
          </w:tcPr>
          <w:p>
            <w:r/>
            <w:r>
              <w:rPr>
                <w:rFonts w:ascii="Aptos" w:hAnsi="Aptos"/>
                <w:b w:val="0"/>
                <w:sz w:val="17"/>
              </w:rPr>
              <w:t>Health Connect Australia Provider Directory</w:t>
            </w:r>
          </w:p>
        </w:tc>
        <w:tc>
          <w:tcPr>
            <w:tcW w:type="dxa" w:w="3312"/>
            <w:vAlign w:val="center"/>
          </w:tcPr>
          <w:p>
            <w:r/>
            <w:r>
              <w:rPr>
                <w:rFonts w:ascii="Aptos" w:hAnsi="Aptos"/>
                <w:b w:val="0"/>
                <w:sz w:val="17"/>
              </w:rPr>
              <w:t>Pylai — standards-based integration and APIs</w:t>
            </w:r>
          </w:p>
        </w:tc>
        <w:tc>
          <w:tcPr>
            <w:tcW w:type="dxa" w:w="3312"/>
            <w:vAlign w:val="center"/>
          </w:tcPr>
          <w:p>
            <w:r/>
            <w:r>
              <w:rPr>
                <w:rFonts w:ascii="Aptos" w:hAnsi="Aptos"/>
                <w:b w:val="0"/>
                <w:sz w:val="17"/>
              </w:rPr>
              <w:t>EMR / CIS</w:t>
            </w:r>
          </w:p>
        </w:tc>
      </w:tr>
      <w:tr>
        <w:tc>
          <w:tcPr>
            <w:tcW w:type="dxa" w:w="3312"/>
            <w:vAlign w:val="center"/>
          </w:tcPr>
          <w:p>
            <w:r/>
            <w:r>
              <w:rPr>
                <w:rFonts w:ascii="Aptos" w:hAnsi="Aptos"/>
                <w:b w:val="0"/>
                <w:sz w:val="17"/>
              </w:rPr>
              <w:t>HI Service / registration sources</w:t>
            </w:r>
          </w:p>
        </w:tc>
        <w:tc>
          <w:tcPr>
            <w:tcW w:type="dxa" w:w="3312"/>
            <w:vAlign w:val="center"/>
          </w:tcPr>
          <w:p>
            <w:r/>
            <w:r>
              <w:rPr>
                <w:rFonts w:ascii="Aptos" w:hAnsi="Aptos"/>
                <w:b w:val="0"/>
                <w:sz w:val="17"/>
              </w:rPr>
              <w:t>Calliope — canonical models, profiles, terminology and semantics</w:t>
            </w:r>
          </w:p>
        </w:tc>
        <w:tc>
          <w:tcPr>
            <w:tcW w:type="dxa" w:w="3312"/>
            <w:vAlign w:val="center"/>
          </w:tcPr>
          <w:p>
            <w:r/>
            <w:r>
              <w:rPr>
                <w:rFonts w:ascii="Aptos" w:hAnsi="Aptos"/>
                <w:b w:val="0"/>
                <w:sz w:val="17"/>
              </w:rPr>
              <w:t>PAS / patient administration</w:t>
            </w:r>
          </w:p>
        </w:tc>
      </w:tr>
      <w:tr>
        <w:tc>
          <w:tcPr>
            <w:tcW w:type="dxa" w:w="3312"/>
            <w:vAlign w:val="center"/>
          </w:tcPr>
          <w:p>
            <w:r/>
            <w:r>
              <w:rPr>
                <w:rFonts w:ascii="Aptos" w:hAnsi="Aptos"/>
                <w:b w:val="0"/>
                <w:sz w:val="17"/>
              </w:rPr>
              <w:t>Jurisdictional / workforce sources</w:t>
            </w:r>
          </w:p>
        </w:tc>
        <w:tc>
          <w:tcPr>
            <w:tcW w:type="dxa" w:w="3312"/>
            <w:vAlign w:val="center"/>
          </w:tcPr>
          <w:p>
            <w:r/>
            <w:r>
              <w:rPr>
                <w:rFonts w:ascii="Aptos" w:hAnsi="Aptos"/>
                <w:b w:val="0"/>
                <w:sz w:val="17"/>
              </w:rPr>
              <w:t>Mnemosyne — durable local directory representation</w:t>
            </w:r>
          </w:p>
        </w:tc>
        <w:tc>
          <w:tcPr>
            <w:tcW w:type="dxa" w:w="3312"/>
            <w:vAlign w:val="center"/>
          </w:tcPr>
          <w:p>
            <w:r/>
            <w:r>
              <w:rPr>
                <w:rFonts w:ascii="Aptos" w:hAnsi="Aptos"/>
                <w:b w:val="0"/>
                <w:sz w:val="17"/>
              </w:rPr>
              <w:t>LIS / RIS / PACS</w:t>
            </w:r>
          </w:p>
        </w:tc>
      </w:tr>
      <w:tr>
        <w:tc>
          <w:tcPr>
            <w:tcW w:type="dxa" w:w="3312"/>
            <w:vAlign w:val="center"/>
          </w:tcPr>
          <w:p>
            <w:r/>
            <w:r>
              <w:rPr>
                <w:rFonts w:ascii="Aptos" w:hAnsi="Aptos"/>
                <w:b w:val="0"/>
                <w:sz w:val="17"/>
              </w:rPr>
              <w:t>Organisation / local sources</w:t>
            </w:r>
          </w:p>
        </w:tc>
        <w:tc>
          <w:tcPr>
            <w:tcW w:type="dxa" w:w="3312"/>
            <w:vAlign w:val="center"/>
          </w:tcPr>
          <w:p>
            <w:r/>
            <w:r>
              <w:rPr>
                <w:rFonts w:ascii="Aptos" w:hAnsi="Aptos"/>
                <w:b w:val="0"/>
                <w:sz w:val="17"/>
              </w:rPr>
              <w:t>Ponos + Ergon — stewardship, validation and lifecycle workflow</w:t>
            </w:r>
          </w:p>
        </w:tc>
        <w:tc>
          <w:tcPr>
            <w:tcW w:type="dxa" w:w="3312"/>
            <w:vAlign w:val="center"/>
          </w:tcPr>
          <w:p>
            <w:r/>
            <w:r>
              <w:rPr>
                <w:rFonts w:ascii="Aptos" w:hAnsi="Aptos"/>
                <w:b w:val="0"/>
                <w:sz w:val="17"/>
              </w:rPr>
              <w:t>Referral / care coordination</w:t>
            </w:r>
          </w:p>
        </w:tc>
      </w:tr>
      <w:tr>
        <w:tc>
          <w:tcPr>
            <w:tcW w:type="dxa" w:w="3312"/>
            <w:vAlign w:val="center"/>
          </w:tcPr>
          <w:p>
            <w:r/>
            <w:r>
              <w:rPr>
                <w:rFonts w:ascii="Aptos" w:hAnsi="Aptos"/>
                <w:b w:val="0"/>
                <w:sz w:val="17"/>
              </w:rPr>
              <w:t>HIPS / future LDS mechanisms</w:t>
            </w:r>
          </w:p>
        </w:tc>
        <w:tc>
          <w:tcPr>
            <w:tcW w:type="dxa" w:w="3312"/>
            <w:vAlign w:val="center"/>
          </w:tcPr>
          <w:p>
            <w:r/>
            <w:r>
              <w:rPr>
                <w:rFonts w:ascii="Aptos" w:hAnsi="Aptos"/>
                <w:b w:val="0"/>
                <w:sz w:val="17"/>
              </w:rPr>
              <w:t>Artemis + cache — events, distribution and performant lookup</w:t>
            </w:r>
          </w:p>
        </w:tc>
        <w:tc>
          <w:tcPr>
            <w:tcW w:type="dxa" w:w="3312"/>
            <w:vAlign w:val="center"/>
          </w:tcPr>
          <w:p>
            <w:r/>
            <w:r>
              <w:rPr>
                <w:rFonts w:ascii="Aptos" w:hAnsi="Aptos"/>
                <w:b w:val="0"/>
                <w:sz w:val="17"/>
              </w:rPr>
              <w:t>Other APIs / subscribers</w:t>
            </w:r>
          </w:p>
        </w:tc>
      </w:tr>
      <w:tr>
        <w:tc>
          <w:tcPr>
            <w:tcW w:type="dxa" w:w="3312"/>
            <w:vAlign w:val="center"/>
          </w:tcPr>
          <w:p>
            <w:r/>
            <w:r>
              <w:rPr>
                <w:rFonts w:ascii="Aptos" w:hAnsi="Aptos"/>
                <w:b w:val="0"/>
                <w:sz w:val="17"/>
              </w:rPr>
            </w:r>
          </w:p>
        </w:tc>
        <w:tc>
          <w:tcPr>
            <w:tcW w:type="dxa" w:w="3312"/>
            <w:vAlign w:val="center"/>
          </w:tcPr>
          <w:p>
            <w:r/>
            <w:r>
              <w:rPr>
                <w:rFonts w:ascii="Aptos" w:hAnsi="Aptos"/>
                <w:b w:val="0"/>
                <w:sz w:val="17"/>
              </w:rPr>
              <w:t>Iris Administration — administration and stewardship</w:t>
            </w:r>
          </w:p>
        </w:tc>
        <w:tc>
          <w:tcPr>
            <w:tcW w:type="dxa" w:w="3312"/>
            <w:vAlign w:val="center"/>
          </w:tcPr>
          <w:p>
            <w:r/>
            <w:r>
              <w:rPr>
                <w:rFonts w:ascii="Aptos" w:hAnsi="Aptos"/>
                <w:b w:val="0"/>
                <w:sz w:val="17"/>
              </w:rPr>
              <w:t>Search / discovery users</w:t>
            </w:r>
          </w:p>
        </w:tc>
      </w:tr>
    </w:tbl>
    <w:p>
      <w:r>
        <w:t>Pylai should isolate Harmonia from the choice of national consumption mechanism. Direct FHIR search, FHIR Bulk Data export, a HIPS-hosted LDS, legacy services or jurisdiction-specific interfaces should be adapters into a stable Harmonia domain model rather than architectural dependencies propagated through the platform.</w:t>
      </w:r>
    </w:p>
    <w:p>
      <w:pPr>
        <w:pStyle w:val="Heading1"/>
      </w:pPr>
      <w:r>
        <w:t>6. Local Directory Information Model</w:t>
      </w:r>
    </w:p>
    <w:p>
      <w:r>
        <w:t>The Local Directory capability should be centred on relationships rather than a flat practitioner register. The working target model is:</w:t>
      </w:r>
    </w:p>
    <w:p>
      <w:pPr>
        <w:jc w:val="center"/>
      </w:pPr>
      <w:r>
        <w:rPr>
          <w:rFonts w:ascii="Consolas" w:hAnsi="Consolas"/>
          <w:sz w:val="20"/>
        </w:rPr>
        <w:t>Practitioner / Organisation / Location</w:t>
        <w:br/>
        <w:t xml:space="preserve">        ↓</w:t>
        <w:br/>
        <w:t>PractitionerRole / Affiliation</w:t>
        <w:br/>
        <w:t xml:space="preserve">        ↓</w:t>
        <w:br/>
        <w:t>HealthcareService</w:t>
        <w:br/>
        <w:t xml:space="preserve">        ↓</w:t>
        <w:br/>
        <w:t>ElectronicServiceEndpoint</w:t>
        <w:br/>
        <w:t xml:space="preserve">        ↓</w:t>
        <w:br/>
        <w:t>EndpointCapability</w:t>
      </w:r>
    </w:p>
    <w:p>
      <w:r>
        <w:t>Endpoint and Endpoint Capability should remain distinct: an endpoint describes where a service can be reached; its capability describes what/how it communicates, including protocol, profile, payload, direction, security, connectivity and operational constraints.</w:t>
      </w:r>
    </w:p>
    <w:p>
      <w:pPr>
        <w:pStyle w:val="Heading1"/>
      </w:pPr>
      <w:r>
        <w:t>7. Source Authority and Local Enrichment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7"/>
              </w:rPr>
              <w:t>Information</w:t>
            </w:r>
          </w:p>
        </w:tc>
        <w:tc>
          <w:tcPr>
            <w:tcW w:type="dxa" w:w="3312"/>
            <w:vAlign w:val="center"/>
            <w:shd w:fill="D9EAF7"/>
          </w:tcPr>
          <w:p>
            <w:r/>
            <w:r>
              <w:rPr>
                <w:rFonts w:ascii="Aptos" w:hAnsi="Aptos"/>
                <w:b/>
                <w:sz w:val="17"/>
              </w:rPr>
              <w:t>Likely authority</w:t>
            </w:r>
          </w:p>
        </w:tc>
        <w:tc>
          <w:tcPr>
            <w:tcW w:type="dxa" w:w="3312"/>
            <w:vAlign w:val="center"/>
            <w:shd w:fill="D9EAF7"/>
          </w:tcPr>
          <w:p>
            <w:r/>
            <w:r>
              <w:rPr>
                <w:rFonts w:ascii="Aptos" w:hAnsi="Aptos"/>
                <w:b/>
                <w:sz w:val="17"/>
              </w:rPr>
              <w:t>Harmonia role</w:t>
            </w:r>
          </w:p>
        </w:tc>
      </w:tr>
      <w:tr>
        <w:tc>
          <w:tcPr>
            <w:tcW w:type="dxa" w:w="3312"/>
            <w:vAlign w:val="center"/>
          </w:tcPr>
          <w:p>
            <w:r/>
            <w:r>
              <w:rPr>
                <w:rFonts w:ascii="Aptos" w:hAnsi="Aptos"/>
                <w:b w:val="0"/>
                <w:sz w:val="16"/>
              </w:rPr>
              <w:t>HPI-I / HPI-O</w:t>
            </w:r>
          </w:p>
        </w:tc>
        <w:tc>
          <w:tcPr>
            <w:tcW w:type="dxa" w:w="3312"/>
            <w:vAlign w:val="center"/>
          </w:tcPr>
          <w:p>
            <w:r/>
            <w:r>
              <w:rPr>
                <w:rFonts w:ascii="Aptos" w:hAnsi="Aptos"/>
                <w:b w:val="0"/>
                <w:sz w:val="16"/>
              </w:rPr>
              <w:t>National HI Service</w:t>
            </w:r>
          </w:p>
        </w:tc>
        <w:tc>
          <w:tcPr>
            <w:tcW w:type="dxa" w:w="3312"/>
            <w:vAlign w:val="center"/>
          </w:tcPr>
          <w:p>
            <w:r/>
            <w:r>
              <w:rPr>
                <w:rFonts w:ascii="Aptos" w:hAnsi="Aptos"/>
                <w:b w:val="0"/>
                <w:sz w:val="16"/>
              </w:rPr>
              <w:t>Retain identifier, provenance and verification state</w:t>
            </w:r>
          </w:p>
        </w:tc>
      </w:tr>
      <w:tr>
        <w:tc>
          <w:tcPr>
            <w:tcW w:type="dxa" w:w="3312"/>
            <w:vAlign w:val="center"/>
          </w:tcPr>
          <w:p>
            <w:r/>
            <w:r>
              <w:rPr>
                <w:rFonts w:ascii="Aptos" w:hAnsi="Aptos"/>
                <w:b w:val="0"/>
                <w:sz w:val="16"/>
              </w:rPr>
              <w:t>Professional registration</w:t>
            </w:r>
          </w:p>
        </w:tc>
        <w:tc>
          <w:tcPr>
            <w:tcW w:type="dxa" w:w="3312"/>
            <w:vAlign w:val="center"/>
          </w:tcPr>
          <w:p>
            <w:r/>
            <w:r>
              <w:rPr>
                <w:rFonts w:ascii="Aptos" w:hAnsi="Aptos"/>
                <w:b w:val="0"/>
                <w:sz w:val="16"/>
              </w:rPr>
              <w:t>AHPRA / national source</w:t>
            </w:r>
          </w:p>
        </w:tc>
        <w:tc>
          <w:tcPr>
            <w:tcW w:type="dxa" w:w="3312"/>
            <w:vAlign w:val="center"/>
          </w:tcPr>
          <w:p>
            <w:r/>
            <w:r>
              <w:rPr>
                <w:rFonts w:ascii="Aptos" w:hAnsi="Aptos"/>
                <w:b w:val="0"/>
                <w:sz w:val="16"/>
              </w:rPr>
              <w:t>Synchronise and use; do not silently override</w:t>
            </w:r>
          </w:p>
        </w:tc>
      </w:tr>
      <w:tr>
        <w:tc>
          <w:tcPr>
            <w:tcW w:type="dxa" w:w="3312"/>
            <w:vAlign w:val="center"/>
          </w:tcPr>
          <w:p>
            <w:r/>
            <w:r>
              <w:rPr>
                <w:rFonts w:ascii="Aptos" w:hAnsi="Aptos"/>
                <w:b w:val="0"/>
                <w:sz w:val="16"/>
              </w:rPr>
              <w:t>National directory record</w:t>
            </w:r>
          </w:p>
        </w:tc>
        <w:tc>
          <w:tcPr>
            <w:tcW w:type="dxa" w:w="3312"/>
            <w:vAlign w:val="center"/>
          </w:tcPr>
          <w:p>
            <w:r/>
            <w:r>
              <w:rPr>
                <w:rFonts w:ascii="Aptos" w:hAnsi="Aptos"/>
                <w:b w:val="0"/>
                <w:sz w:val="16"/>
              </w:rPr>
              <w:t>Health Connect Australia Provider Directory</w:t>
            </w:r>
          </w:p>
        </w:tc>
        <w:tc>
          <w:tcPr>
            <w:tcW w:type="dxa" w:w="3312"/>
            <w:vAlign w:val="center"/>
          </w:tcPr>
          <w:p>
            <w:r/>
            <w:r>
              <w:rPr>
                <w:rFonts w:ascii="Aptos" w:hAnsi="Aptos"/>
                <w:b w:val="0"/>
                <w:sz w:val="16"/>
              </w:rPr>
              <w:t>Maintain local representation/synchronisation state</w:t>
            </w:r>
          </w:p>
        </w:tc>
      </w:tr>
      <w:tr>
        <w:tc>
          <w:tcPr>
            <w:tcW w:type="dxa" w:w="3312"/>
            <w:vAlign w:val="center"/>
          </w:tcPr>
          <w:p>
            <w:r/>
            <w:r>
              <w:rPr>
                <w:rFonts w:ascii="Aptos" w:hAnsi="Aptos"/>
                <w:b w:val="0"/>
                <w:sz w:val="16"/>
              </w:rPr>
              <w:t>Employment / organisational relationship</w:t>
            </w:r>
          </w:p>
        </w:tc>
        <w:tc>
          <w:tcPr>
            <w:tcW w:type="dxa" w:w="3312"/>
            <w:vAlign w:val="center"/>
          </w:tcPr>
          <w:p>
            <w:r/>
            <w:r>
              <w:rPr>
                <w:rFonts w:ascii="Aptos" w:hAnsi="Aptos"/>
                <w:b w:val="0"/>
                <w:sz w:val="16"/>
              </w:rPr>
              <w:t>Local workforce / organisation</w:t>
            </w:r>
          </w:p>
        </w:tc>
        <w:tc>
          <w:tcPr>
            <w:tcW w:type="dxa" w:w="3312"/>
            <w:vAlign w:val="center"/>
          </w:tcPr>
          <w:p>
            <w:r/>
            <w:r>
              <w:rPr>
                <w:rFonts w:ascii="Aptos" w:hAnsi="Aptos"/>
                <w:b w:val="0"/>
                <w:sz w:val="16"/>
              </w:rPr>
              <w:t>Represent locally authoritative relationship</w:t>
            </w:r>
          </w:p>
        </w:tc>
      </w:tr>
      <w:tr>
        <w:tc>
          <w:tcPr>
            <w:tcW w:type="dxa" w:w="3312"/>
            <w:vAlign w:val="center"/>
          </w:tcPr>
          <w:p>
            <w:r/>
            <w:r>
              <w:rPr>
                <w:rFonts w:ascii="Aptos" w:hAnsi="Aptos"/>
                <w:b w:val="0"/>
                <w:sz w:val="16"/>
              </w:rPr>
              <w:t>Department / local role / service participation</w:t>
            </w:r>
          </w:p>
        </w:tc>
        <w:tc>
          <w:tcPr>
            <w:tcW w:type="dxa" w:w="3312"/>
            <w:vAlign w:val="center"/>
          </w:tcPr>
          <w:p>
            <w:r/>
            <w:r>
              <w:rPr>
                <w:rFonts w:ascii="Aptos" w:hAnsi="Aptos"/>
                <w:b w:val="0"/>
                <w:sz w:val="16"/>
              </w:rPr>
              <w:t>Local organisation / governance</w:t>
            </w:r>
          </w:p>
        </w:tc>
        <w:tc>
          <w:tcPr>
            <w:tcW w:type="dxa" w:w="3312"/>
            <w:vAlign w:val="center"/>
          </w:tcPr>
          <w:p>
            <w:r/>
            <w:r>
              <w:rPr>
                <w:rFonts w:ascii="Aptos" w:hAnsi="Aptos"/>
                <w:b w:val="0"/>
                <w:sz w:val="16"/>
              </w:rPr>
              <w:t>Govern and publish local enrichment</w:t>
            </w:r>
          </w:p>
        </w:tc>
      </w:tr>
      <w:tr>
        <w:tc>
          <w:tcPr>
            <w:tcW w:type="dxa" w:w="3312"/>
            <w:vAlign w:val="center"/>
          </w:tcPr>
          <w:p>
            <w:r/>
            <w:r>
              <w:rPr>
                <w:rFonts w:ascii="Aptos" w:hAnsi="Aptos"/>
                <w:b w:val="0"/>
                <w:sz w:val="16"/>
              </w:rPr>
              <w:t>Electronic endpoint and operational capability</w:t>
            </w:r>
          </w:p>
        </w:tc>
        <w:tc>
          <w:tcPr>
            <w:tcW w:type="dxa" w:w="3312"/>
            <w:vAlign w:val="center"/>
          </w:tcPr>
          <w:p>
            <w:r/>
            <w:r>
              <w:rPr>
                <w:rFonts w:ascii="Aptos" w:hAnsi="Aptos"/>
                <w:b w:val="0"/>
                <w:sz w:val="16"/>
              </w:rPr>
              <w:t>Local integration / service authority</w:t>
            </w:r>
          </w:p>
        </w:tc>
        <w:tc>
          <w:tcPr>
            <w:tcW w:type="dxa" w:w="3312"/>
            <w:vAlign w:val="center"/>
          </w:tcPr>
          <w:p>
            <w:r/>
            <w:r>
              <w:rPr>
                <w:rFonts w:ascii="Aptos" w:hAnsi="Aptos"/>
                <w:b w:val="0"/>
                <w:sz w:val="16"/>
              </w:rPr>
              <w:t>Govern, validate, lifecycle and publish</w:t>
            </w:r>
          </w:p>
        </w:tc>
      </w:tr>
    </w:tbl>
    <w:p>
      <w:pPr>
        <w:pStyle w:val="Heading1"/>
      </w:pPr>
      <w:r>
        <w:t>8. Harmonia Platform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7"/>
              </w:rPr>
              <w:t>Subsystem</w:t>
            </w:r>
          </w:p>
        </w:tc>
        <w:tc>
          <w:tcPr>
            <w:tcW w:type="dxa" w:w="4968"/>
            <w:vAlign w:val="center"/>
            <w:shd w:fill="D9EAF7"/>
          </w:tcPr>
          <w:p>
            <w:r/>
            <w:r>
              <w:rPr>
                <w:rFonts w:ascii="Aptos" w:hAnsi="Aptos"/>
                <w:b/>
                <w:sz w:val="17"/>
              </w:rPr>
              <w:t>Responsibility</w:t>
            </w:r>
          </w:p>
        </w:tc>
      </w:tr>
      <w:tr>
        <w:tc>
          <w:tcPr>
            <w:tcW w:type="dxa" w:w="4968"/>
            <w:vAlign w:val="center"/>
          </w:tcPr>
          <w:p>
            <w:r/>
            <w:r>
              <w:rPr>
                <w:rFonts w:ascii="Aptos" w:hAnsi="Aptos"/>
                <w:b/>
                <w:sz w:val="16"/>
              </w:rPr>
              <w:t>Pylai</w:t>
            </w:r>
          </w:p>
        </w:tc>
        <w:tc>
          <w:tcPr>
            <w:tcW w:type="dxa" w:w="4968"/>
            <w:vAlign w:val="center"/>
          </w:tcPr>
          <w:p>
            <w:r/>
            <w:r>
              <w:rPr>
                <w:rFonts w:ascii="Aptos" w:hAnsi="Aptos"/>
                <w:b w:val="0"/>
                <w:sz w:val="16"/>
              </w:rPr>
              <w:t>FHIR/HL7/API interoperability, national/local directory adapters, search/export/synchronisation interfaces.</w:t>
            </w:r>
          </w:p>
        </w:tc>
      </w:tr>
      <w:tr>
        <w:tc>
          <w:tcPr>
            <w:tcW w:type="dxa" w:w="4968"/>
            <w:vAlign w:val="center"/>
          </w:tcPr>
          <w:p>
            <w:r/>
            <w:r>
              <w:rPr>
                <w:rFonts w:ascii="Aptos" w:hAnsi="Aptos"/>
                <w:b/>
                <w:sz w:val="16"/>
              </w:rPr>
              <w:t>Mnemosyne</w:t>
            </w:r>
          </w:p>
        </w:tc>
        <w:tc>
          <w:tcPr>
            <w:tcW w:type="dxa" w:w="4968"/>
            <w:vAlign w:val="center"/>
          </w:tcPr>
          <w:p>
            <w:r/>
            <w:r>
              <w:rPr>
                <w:rFonts w:ascii="Aptos" w:hAnsi="Aptos"/>
                <w:b w:val="0"/>
                <w:sz w:val="16"/>
              </w:rPr>
              <w:t>Durable provider-directory and related enterprise information representation.</w:t>
            </w:r>
          </w:p>
        </w:tc>
      </w:tr>
      <w:tr>
        <w:tc>
          <w:tcPr>
            <w:tcW w:type="dxa" w:w="4968"/>
            <w:vAlign w:val="center"/>
          </w:tcPr>
          <w:p>
            <w:r/>
            <w:r>
              <w:rPr>
                <w:rFonts w:ascii="Aptos" w:hAnsi="Aptos"/>
                <w:b/>
                <w:sz w:val="16"/>
              </w:rPr>
              <w:t>Calliope</w:t>
            </w:r>
          </w:p>
        </w:tc>
        <w:tc>
          <w:tcPr>
            <w:tcW w:type="dxa" w:w="4968"/>
            <w:vAlign w:val="center"/>
          </w:tcPr>
          <w:p>
            <w:r/>
            <w:r>
              <w:rPr>
                <w:rFonts w:ascii="Aptos" w:hAnsi="Aptos"/>
                <w:b w:val="0"/>
                <w:sz w:val="16"/>
              </w:rPr>
              <w:t>Canonical models, profiles, terminology bindings, semantic mappings and source semantics.</w:t>
            </w:r>
          </w:p>
        </w:tc>
      </w:tr>
      <w:tr>
        <w:tc>
          <w:tcPr>
            <w:tcW w:type="dxa" w:w="4968"/>
            <w:vAlign w:val="center"/>
          </w:tcPr>
          <w:p>
            <w:r/>
            <w:r>
              <w:rPr>
                <w:rFonts w:ascii="Aptos" w:hAnsi="Aptos"/>
                <w:b/>
                <w:sz w:val="16"/>
              </w:rPr>
              <w:t>Ponos / Ergon</w:t>
            </w:r>
          </w:p>
        </w:tc>
        <w:tc>
          <w:tcPr>
            <w:tcW w:type="dxa" w:w="4968"/>
            <w:vAlign w:val="center"/>
          </w:tcPr>
          <w:p>
            <w:r/>
            <w:r>
              <w:rPr>
                <w:rFonts w:ascii="Aptos" w:hAnsi="Aptos"/>
                <w:b w:val="0"/>
                <w:sz w:val="16"/>
              </w:rPr>
              <w:t>Stewardship, validation, approval, conflict resolution, lifecycle and other governed workflows.</w:t>
            </w:r>
          </w:p>
        </w:tc>
      </w:tr>
      <w:tr>
        <w:tc>
          <w:tcPr>
            <w:tcW w:type="dxa" w:w="4968"/>
            <w:vAlign w:val="center"/>
          </w:tcPr>
          <w:p>
            <w:r/>
            <w:r>
              <w:rPr>
                <w:rFonts w:ascii="Aptos" w:hAnsi="Aptos"/>
                <w:b/>
                <w:sz w:val="16"/>
              </w:rPr>
              <w:t>Artemis</w:t>
            </w:r>
          </w:p>
        </w:tc>
        <w:tc>
          <w:tcPr>
            <w:tcW w:type="dxa" w:w="4968"/>
            <w:vAlign w:val="center"/>
          </w:tcPr>
          <w:p>
            <w:r/>
            <w:r>
              <w:rPr>
                <w:rFonts w:ascii="Aptos" w:hAnsi="Aptos"/>
                <w:b w:val="0"/>
                <w:sz w:val="16"/>
              </w:rPr>
              <w:t>Change/event distribution and decoupled downstream propagation.</w:t>
            </w:r>
          </w:p>
        </w:tc>
      </w:tr>
      <w:tr>
        <w:tc>
          <w:tcPr>
            <w:tcW w:type="dxa" w:w="4968"/>
            <w:vAlign w:val="center"/>
          </w:tcPr>
          <w:p>
            <w:r/>
            <w:r>
              <w:rPr>
                <w:rFonts w:ascii="Aptos" w:hAnsi="Aptos"/>
                <w:b/>
                <w:sz w:val="16"/>
              </w:rPr>
              <w:t>Infinispan</w:t>
            </w:r>
          </w:p>
        </w:tc>
        <w:tc>
          <w:tcPr>
            <w:tcW w:type="dxa" w:w="4968"/>
            <w:vAlign w:val="center"/>
          </w:tcPr>
          <w:p>
            <w:r/>
            <w:r>
              <w:rPr>
                <w:rFonts w:ascii="Aptos" w:hAnsi="Aptos"/>
                <w:b w:val="0"/>
                <w:sz w:val="16"/>
              </w:rPr>
              <w:t>Performance-oriented lookup/cache where appropriate; not a substitute for authoritative persistence.</w:t>
            </w:r>
          </w:p>
        </w:tc>
      </w:tr>
      <w:tr>
        <w:tc>
          <w:tcPr>
            <w:tcW w:type="dxa" w:w="4968"/>
            <w:vAlign w:val="center"/>
          </w:tcPr>
          <w:p>
            <w:r/>
            <w:r>
              <w:rPr>
                <w:rFonts w:ascii="Aptos" w:hAnsi="Aptos"/>
                <w:b/>
                <w:sz w:val="16"/>
              </w:rPr>
              <w:t>Iris Administration</w:t>
            </w:r>
          </w:p>
        </w:tc>
        <w:tc>
          <w:tcPr>
            <w:tcW w:type="dxa" w:w="4968"/>
            <w:vAlign w:val="center"/>
          </w:tcPr>
          <w:p>
            <w:r/>
            <w:r>
              <w:rPr>
                <w:rFonts w:ascii="Aptos" w:hAnsi="Aptos"/>
                <w:b w:val="0"/>
                <w:sz w:val="16"/>
              </w:rPr>
              <w:t>Provider Directory administration, stewardship, review and operational management.</w:t>
            </w:r>
          </w:p>
        </w:tc>
      </w:tr>
    </w:tbl>
    <w:p>
      <w:pPr>
        <w:pStyle w:val="Heading1"/>
      </w:pPr>
      <w:r>
        <w:t>9. Broader Harmonia Vision</w:t>
      </w:r>
    </w:p>
    <w:p>
      <w:r>
        <w:t>The Local Directory is a core proving case for Harmonia's architecture, not its architectural boundary. The platform should remain capable of applying the same foundational services to additional domains.</w:t>
      </w:r>
    </w:p>
    <w:p>
      <w:pPr>
        <w:pStyle w:val="ListBullet"/>
        <w:spacing w:after="40"/>
      </w:pPr>
      <w:r>
        <w:t>Provider and service directory / enterprise LDS capability.</w:t>
      </w:r>
    </w:p>
    <w:p>
      <w:pPr>
        <w:pStyle w:val="ListBullet"/>
        <w:spacing w:after="40"/>
      </w:pPr>
      <w:r>
        <w:t>Patient identity, identifiers, matching and resolution.</w:t>
      </w:r>
    </w:p>
    <w:p>
      <w:pPr>
        <w:pStyle w:val="ListBullet"/>
        <w:spacing w:after="40"/>
      </w:pPr>
      <w:r>
        <w:t>Clinical interoperability through vendor-neutral FHIR and HL7 services.</w:t>
      </w:r>
    </w:p>
    <w:p>
      <w:pPr>
        <w:pStyle w:val="ListBullet"/>
        <w:spacing w:after="40"/>
      </w:pPr>
      <w:r>
        <w:t>Longitudinal clinical information representation and read-oriented clinical views.</w:t>
      </w:r>
    </w:p>
    <w:p>
      <w:pPr>
        <w:pStyle w:val="ListBullet"/>
        <w:spacing w:after="40"/>
      </w:pPr>
      <w:r>
        <w:t>Terminology, reference data, profiles and semantic governance.</w:t>
      </w:r>
    </w:p>
    <w:p>
      <w:pPr>
        <w:pStyle w:val="ListBullet"/>
        <w:spacing w:after="40"/>
      </w:pPr>
      <w:r>
        <w:t>Consent and information-sharing controls.</w:t>
      </w:r>
    </w:p>
    <w:p>
      <w:pPr>
        <w:pStyle w:val="ListBullet"/>
        <w:spacing w:after="40"/>
      </w:pPr>
      <w:r>
        <w:t>Governed workflow and stewardship across health information domains.</w:t>
      </w:r>
    </w:p>
    <w:p>
      <w:pPr>
        <w:pStyle w:val="ListBullet"/>
        <w:spacing w:after="40"/>
      </w:pPr>
      <w:r>
        <w:t>Integration, event distribution, provenance, audit, security and operational monitoring as shared platform concerns.</w:t>
      </w:r>
    </w:p>
    <w:p>
      <w:r>
        <w:t>Accordingly, the Provider Directory must not create a parallel architecture. Its implementation should exercise and extend shared Harmonia services so that the resulting capabilities remain reusable by patient, clinical and other future domains.</w:t>
      </w:r>
    </w:p>
    <w:p>
      <w:pPr>
        <w:pStyle w:val="Heading1"/>
      </w:pPr>
      <w:r>
        <w:t>10. Strategic Requirements</w:t>
      </w:r>
    </w:p>
    <w:p>
      <w:pPr>
        <w:spacing w:after="80"/>
      </w:pPr>
      <w:r>
        <w:rPr>
          <w:b/>
        </w:rPr>
        <w:t xml:space="preserve">HARM-STR-001 — Multi-purpose platform. </w:t>
      </w:r>
      <w:r>
        <w:t>Harmonia SHALL remain a general health interoperability and information-management platform; the Local Directory capability SHALL NOT define the boundary of the platform.</w:t>
      </w:r>
    </w:p>
    <w:p>
      <w:pPr>
        <w:spacing w:after="80"/>
      </w:pPr>
      <w:r>
        <w:rPr>
          <w:b/>
        </w:rPr>
        <w:t xml:space="preserve">HARM-LDS-001 — Enterprise Local Directory. </w:t>
      </w:r>
      <w:r>
        <w:t>Harmonia SHALL maintain a locally usable enterprise representation of practitioners, organisations, roles, locations, healthcare services and electronic service endpoints.</w:t>
      </w:r>
    </w:p>
    <w:p>
      <w:pPr>
        <w:spacing w:after="80"/>
      </w:pPr>
      <w:r>
        <w:rPr>
          <w:b/>
        </w:rPr>
        <w:t xml:space="preserve">HARM-LDS-002 — Source authority. </w:t>
      </w:r>
      <w:r>
        <w:t>Harmonia SHALL retain the authoritative source and provenance of externally and locally sourced directory facts.</w:t>
      </w:r>
    </w:p>
    <w:p>
      <w:pPr>
        <w:spacing w:after="80"/>
      </w:pPr>
      <w:r>
        <w:rPr>
          <w:b/>
        </w:rPr>
        <w:t xml:space="preserve">HARM-LDS-003 — Local enrichment. </w:t>
      </w:r>
      <w:r>
        <w:t>Harmonia SHALL support locally authoritative enrichment without overwriting or obscuring externally authoritative facts.</w:t>
      </w:r>
    </w:p>
    <w:p>
      <w:pPr>
        <w:spacing w:after="80"/>
      </w:pPr>
      <w:r>
        <w:rPr>
          <w:b/>
        </w:rPr>
        <w:t xml:space="preserve">HARM-LDS-004 — Standards-based access. </w:t>
      </w:r>
      <w:r>
        <w:t>Harmonia SHALL expose directory information through standards-based interfaces appropriate to enterprise consumers.</w:t>
      </w:r>
    </w:p>
    <w:p>
      <w:pPr>
        <w:spacing w:after="80"/>
      </w:pPr>
      <w:r>
        <w:rPr>
          <w:b/>
        </w:rPr>
        <w:t xml:space="preserve">HARM-LDS-005 — National integration independence. </w:t>
      </w:r>
      <w:r>
        <w:t>Harmonia SHALL isolate national directory consumption mechanisms behind integration adapters so that direct FHIR APIs, bulk synchronisation, HIPS LDS or future mechanisms do not dictate the internal domain model.</w:t>
      </w:r>
    </w:p>
    <w:p>
      <w:pPr>
        <w:spacing w:after="80"/>
      </w:pPr>
      <w:r>
        <w:rPr>
          <w:b/>
        </w:rPr>
        <w:t xml:space="preserve">HARM-LDS-006 — Synchronisation. </w:t>
      </w:r>
      <w:r>
        <w:t>Harmonia SHALL support initial load, incremental synchronisation, reconciliation and controlled refresh of externally sourced directory information.</w:t>
      </w:r>
    </w:p>
    <w:p>
      <w:pPr>
        <w:spacing w:after="80"/>
      </w:pPr>
      <w:r>
        <w:rPr>
          <w:b/>
        </w:rPr>
        <w:t xml:space="preserve">HARM-LDS-007 — Governance and stewardship. </w:t>
      </w:r>
      <w:r>
        <w:t>Harmonia SHALL support validation, approval, lifecycle, conflict handling, audit and stewardship for information requiring local governance.</w:t>
      </w:r>
    </w:p>
    <w:p>
      <w:pPr>
        <w:spacing w:after="80"/>
      </w:pPr>
      <w:r>
        <w:rPr>
          <w:b/>
        </w:rPr>
        <w:t xml:space="preserve">HARM-LDS-008 — Endpoint model. </w:t>
      </w:r>
      <w:r>
        <w:t>Harmonia SHALL distinguish Electronic Service Endpoint from Endpoint Capability and support the relationships between endpoint information and practitioner, organisation, location and healthcare service context.</w:t>
      </w:r>
    </w:p>
    <w:p>
      <w:pPr>
        <w:spacing w:after="80"/>
      </w:pPr>
      <w:r>
        <w:rPr>
          <w:b/>
        </w:rPr>
        <w:t xml:space="preserve">HARM-LDS-009 — Traceability. </w:t>
      </w:r>
      <w:r>
        <w:t>Implementation SHALL retain traceability from HIE use cases and OpenSpec requirements to shared Harmonia capabilities and automated verification.</w:t>
      </w:r>
    </w:p>
    <w:p>
      <w:pPr>
        <w:spacing w:after="80"/>
      </w:pPr>
      <w:r>
        <w:rPr>
          <w:b/>
        </w:rPr>
        <w:t xml:space="preserve">HARM-LDS-010 — Reuse. </w:t>
      </w:r>
      <w:r>
        <w:t>Provider Directory implementation SHALL preferentially extend shared Harmonia capabilities rather than introduce functionally equivalent parallel services.</w:t>
      </w:r>
    </w:p>
    <w:p>
      <w:pPr>
        <w:spacing w:after="80"/>
      </w:pPr>
      <w:r>
        <w:rPr>
          <w:b/>
        </w:rPr>
        <w:t xml:space="preserve">HARM-LDS-011 — Technology independence. </w:t>
      </w:r>
      <w:r>
        <w:t>Business and behavioural requirements SHALL remain independent of a specific national product, transport or vendor implementation unless conformance explicitly requires it.</w:t>
      </w:r>
    </w:p>
    <w:p>
      <w:pPr>
        <w:spacing w:after="80"/>
      </w:pPr>
      <w:r>
        <w:rPr>
          <w:b/>
        </w:rPr>
        <w:t xml:space="preserve">HARM-LDS-012 — Operational resilience. </w:t>
      </w:r>
      <w:r>
        <w:t>Local directory consumers SHALL not be unnecessarily dependent on real-time availability of external national sources where synchronised local operation is appropriate.</w:t>
      </w:r>
    </w:p>
    <w:p>
      <w:pPr>
        <w:pStyle w:val="Heading1"/>
      </w:pPr>
      <w:r>
        <w:t>11. Architecture Guardrails</w:t>
      </w:r>
    </w:p>
    <w:p>
      <w:pPr>
        <w:pStyle w:val="ListBullet"/>
        <w:spacing w:after="40"/>
      </w:pPr>
      <w:r>
        <w:t>Do not model the national Provider Directory as the sole source of all local provider/service truth.</w:t>
      </w:r>
    </w:p>
    <w:p>
      <w:pPr>
        <w:pStyle w:val="ListBullet"/>
        <w:spacing w:after="40"/>
      </w:pPr>
      <w:r>
        <w:t>Do not collapse externally authoritative and locally authoritative values without provenance.</w:t>
      </w:r>
    </w:p>
    <w:p>
      <w:pPr>
        <w:pStyle w:val="ListBullet"/>
        <w:spacing w:after="40"/>
      </w:pPr>
      <w:r>
        <w:t>Do not couple core domain services directly to HIPS or a particular national API.</w:t>
      </w:r>
    </w:p>
    <w:p>
      <w:pPr>
        <w:pStyle w:val="ListBullet"/>
        <w:spacing w:after="40"/>
      </w:pPr>
      <w:r>
        <w:t>Do not equate each use case with a separate software component.</w:t>
      </w:r>
    </w:p>
    <w:p>
      <w:pPr>
        <w:pStyle w:val="ListBullet"/>
        <w:spacing w:after="40"/>
      </w:pPr>
      <w:r>
        <w:t>Do not use cache state as the sole authoritative representation of directory information.</w:t>
      </w:r>
    </w:p>
    <w:p>
      <w:pPr>
        <w:pStyle w:val="ListBullet"/>
        <w:spacing w:after="40"/>
      </w:pPr>
      <w:r>
        <w:t>Do not allow the Provider Directory implementation to duplicate canonical modelling, terminology, security, audit, workflow or messaging capabilities already owned by Harmonia subsystems.</w:t>
      </w:r>
    </w:p>
    <w:p>
      <w:pPr>
        <w:pStyle w:val="ListBullet"/>
        <w:spacing w:after="40"/>
      </w:pPr>
      <w:r>
        <w:t>Prefer shared domain capability plus requirement traceability over use-case-specific implementations.</w:t>
      </w:r>
    </w:p>
    <w:p>
      <w:pPr>
        <w:pStyle w:val="Heading1"/>
      </w:pPr>
      <w:r>
        <w:t>12. Implementation Strategy</w:t>
      </w:r>
    </w:p>
    <w:p>
      <w:r>
        <w:t>The 421 HIE OpenSpecs should be treated as behavioural requirements and acceptance evidence. Implementation should proceed capability-first and in small vertical slices. Before implementation, a convergence analysis should map all OpenSpecs to existing Harmonia components, identify missing capabilities and overlaps, establish dependencies, and identify architectural decisions requiring approval.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7"/>
              </w:rPr>
              <w:t>Wave</w:t>
            </w:r>
          </w:p>
        </w:tc>
        <w:tc>
          <w:tcPr>
            <w:tcW w:type="dxa" w:w="3312"/>
            <w:vAlign w:val="center"/>
            <w:shd w:fill="D9EAF7"/>
          </w:tcPr>
          <w:p>
            <w:r/>
            <w:r>
              <w:rPr>
                <w:rFonts w:ascii="Aptos" w:hAnsi="Aptos"/>
                <w:b/>
                <w:sz w:val="17"/>
              </w:rPr>
              <w:t>Focus</w:t>
            </w:r>
          </w:p>
        </w:tc>
        <w:tc>
          <w:tcPr>
            <w:tcW w:type="dxa" w:w="3312"/>
            <w:vAlign w:val="center"/>
            <w:shd w:fill="D9EAF7"/>
          </w:tcPr>
          <w:p>
            <w:r/>
            <w:r>
              <w:rPr>
                <w:rFonts w:ascii="Aptos" w:hAnsi="Aptos"/>
                <w:b/>
                <w:sz w:val="17"/>
              </w:rPr>
              <w:t>Intent</w:t>
            </w:r>
          </w:p>
        </w:tc>
      </w:tr>
      <w:tr>
        <w:tc>
          <w:tcPr>
            <w:tcW w:type="dxa" w:w="3312"/>
            <w:vAlign w:val="center"/>
          </w:tcPr>
          <w:p>
            <w:r/>
            <w:r>
              <w:rPr>
                <w:rFonts w:ascii="Aptos" w:hAnsi="Aptos"/>
                <w:b w:val="0"/>
                <w:sz w:val="16"/>
              </w:rPr>
              <w:t>0</w:t>
            </w:r>
          </w:p>
        </w:tc>
        <w:tc>
          <w:tcPr>
            <w:tcW w:type="dxa" w:w="3312"/>
            <w:vAlign w:val="center"/>
          </w:tcPr>
          <w:p>
            <w:r/>
            <w:r>
              <w:rPr>
                <w:rFonts w:ascii="Aptos" w:hAnsi="Aptos"/>
                <w:b w:val="0"/>
                <w:sz w:val="16"/>
              </w:rPr>
              <w:t>Convergence analysis</w:t>
            </w:r>
          </w:p>
        </w:tc>
        <w:tc>
          <w:tcPr>
            <w:tcW w:type="dxa" w:w="3312"/>
            <w:vAlign w:val="center"/>
          </w:tcPr>
          <w:p>
            <w:r/>
            <w:r>
              <w:rPr>
                <w:rFonts w:ascii="Aptos" w:hAnsi="Aptos"/>
                <w:b w:val="0"/>
                <w:sz w:val="16"/>
              </w:rPr>
              <w:t>Map requirements to existing Harmonia; no implementation.</w:t>
            </w:r>
          </w:p>
        </w:tc>
      </w:tr>
      <w:tr>
        <w:tc>
          <w:tcPr>
            <w:tcW w:type="dxa" w:w="3312"/>
            <w:vAlign w:val="center"/>
          </w:tcPr>
          <w:p>
            <w:r/>
            <w:r>
              <w:rPr>
                <w:rFonts w:ascii="Aptos" w:hAnsi="Aptos"/>
                <w:b w:val="0"/>
                <w:sz w:val="16"/>
              </w:rPr>
              <w:t>1</w:t>
            </w:r>
          </w:p>
        </w:tc>
        <w:tc>
          <w:tcPr>
            <w:tcW w:type="dxa" w:w="3312"/>
            <w:vAlign w:val="center"/>
          </w:tcPr>
          <w:p>
            <w:r/>
            <w:r>
              <w:rPr>
                <w:rFonts w:ascii="Aptos" w:hAnsi="Aptos"/>
                <w:b w:val="0"/>
                <w:sz w:val="16"/>
              </w:rPr>
              <w:t>Terminology/reference foundations</w:t>
            </w:r>
          </w:p>
        </w:tc>
        <w:tc>
          <w:tcPr>
            <w:tcW w:type="dxa" w:w="3312"/>
            <w:vAlign w:val="center"/>
          </w:tcPr>
          <w:p>
            <w:r/>
            <w:r>
              <w:rPr>
                <w:rFonts w:ascii="Aptos" w:hAnsi="Aptos"/>
                <w:b w:val="0"/>
                <w:sz w:val="16"/>
              </w:rPr>
              <w:t>Establish shared semantics required by later domains.</w:t>
            </w:r>
          </w:p>
        </w:tc>
      </w:tr>
      <w:tr>
        <w:tc>
          <w:tcPr>
            <w:tcW w:type="dxa" w:w="3312"/>
            <w:vAlign w:val="center"/>
          </w:tcPr>
          <w:p>
            <w:r/>
            <w:r>
              <w:rPr>
                <w:rFonts w:ascii="Aptos" w:hAnsi="Aptos"/>
                <w:b w:val="0"/>
                <w:sz w:val="16"/>
              </w:rPr>
              <w:t>2</w:t>
            </w:r>
          </w:p>
        </w:tc>
        <w:tc>
          <w:tcPr>
            <w:tcW w:type="dxa" w:w="3312"/>
            <w:vAlign w:val="center"/>
          </w:tcPr>
          <w:p>
            <w:r/>
            <w:r>
              <w:rPr>
                <w:rFonts w:ascii="Aptos" w:hAnsi="Aptos"/>
                <w:b w:val="0"/>
                <w:sz w:val="16"/>
              </w:rPr>
              <w:t>Provider identity</w:t>
            </w:r>
          </w:p>
        </w:tc>
        <w:tc>
          <w:tcPr>
            <w:tcW w:type="dxa" w:w="3312"/>
            <w:vAlign w:val="center"/>
          </w:tcPr>
          <w:p>
            <w:r/>
            <w:r>
              <w:rPr>
                <w:rFonts w:ascii="Aptos" w:hAnsi="Aptos"/>
                <w:b w:val="0"/>
                <w:sz w:val="16"/>
              </w:rPr>
              <w:t>Identifiers, validation, matching and canonical identity.</w:t>
            </w:r>
          </w:p>
        </w:tc>
      </w:tr>
      <w:tr>
        <w:tc>
          <w:tcPr>
            <w:tcW w:type="dxa" w:w="3312"/>
            <w:vAlign w:val="center"/>
          </w:tcPr>
          <w:p>
            <w:r/>
            <w:r>
              <w:rPr>
                <w:rFonts w:ascii="Aptos" w:hAnsi="Aptos"/>
                <w:b w:val="0"/>
                <w:sz w:val="16"/>
              </w:rPr>
              <w:t>3</w:t>
            </w:r>
          </w:p>
        </w:tc>
        <w:tc>
          <w:tcPr>
            <w:tcW w:type="dxa" w:w="3312"/>
            <w:vAlign w:val="center"/>
          </w:tcPr>
          <w:p>
            <w:r/>
            <w:r>
              <w:rPr>
                <w:rFonts w:ascii="Aptos" w:hAnsi="Aptos"/>
                <w:b w:val="0"/>
                <w:sz w:val="16"/>
              </w:rPr>
              <w:t>Provider management</w:t>
            </w:r>
          </w:p>
        </w:tc>
        <w:tc>
          <w:tcPr>
            <w:tcW w:type="dxa" w:w="3312"/>
            <w:vAlign w:val="center"/>
          </w:tcPr>
          <w:p>
            <w:r/>
            <w:r>
              <w:rPr>
                <w:rFonts w:ascii="Aptos" w:hAnsi="Aptos"/>
                <w:b w:val="0"/>
                <w:sz w:val="16"/>
              </w:rPr>
              <w:t>Profiles, credentials, affiliations, roles, locations and services.</w:t>
            </w:r>
          </w:p>
        </w:tc>
      </w:tr>
      <w:tr>
        <w:tc>
          <w:tcPr>
            <w:tcW w:type="dxa" w:w="3312"/>
            <w:vAlign w:val="center"/>
          </w:tcPr>
          <w:p>
            <w:r/>
            <w:r>
              <w:rPr>
                <w:rFonts w:ascii="Aptos" w:hAnsi="Aptos"/>
                <w:b w:val="0"/>
                <w:sz w:val="16"/>
              </w:rPr>
              <w:t>4</w:t>
            </w:r>
          </w:p>
        </w:tc>
        <w:tc>
          <w:tcPr>
            <w:tcW w:type="dxa" w:w="3312"/>
            <w:vAlign w:val="center"/>
          </w:tcPr>
          <w:p>
            <w:r/>
            <w:r>
              <w:rPr>
                <w:rFonts w:ascii="Aptos" w:hAnsi="Aptos"/>
                <w:b w:val="0"/>
                <w:sz w:val="16"/>
              </w:rPr>
              <w:t>Governance/lifecycle</w:t>
            </w:r>
          </w:p>
        </w:tc>
        <w:tc>
          <w:tcPr>
            <w:tcW w:type="dxa" w:w="3312"/>
            <w:vAlign w:val="center"/>
          </w:tcPr>
          <w:p>
            <w:r/>
            <w:r>
              <w:rPr>
                <w:rFonts w:ascii="Aptos" w:hAnsi="Aptos"/>
                <w:b w:val="0"/>
                <w:sz w:val="16"/>
              </w:rPr>
              <w:t>Verification, stewardship, approval, lifecycle, provenance and audit.</w:t>
            </w:r>
          </w:p>
        </w:tc>
      </w:tr>
      <w:tr>
        <w:tc>
          <w:tcPr>
            <w:tcW w:type="dxa" w:w="3312"/>
            <w:vAlign w:val="center"/>
          </w:tcPr>
          <w:p>
            <w:r/>
            <w:r>
              <w:rPr>
                <w:rFonts w:ascii="Aptos" w:hAnsi="Aptos"/>
                <w:b w:val="0"/>
                <w:sz w:val="16"/>
              </w:rPr>
              <w:t>5</w:t>
            </w:r>
          </w:p>
        </w:tc>
        <w:tc>
          <w:tcPr>
            <w:tcW w:type="dxa" w:w="3312"/>
            <w:vAlign w:val="center"/>
          </w:tcPr>
          <w:p>
            <w:r/>
            <w:r>
              <w:rPr>
                <w:rFonts w:ascii="Aptos" w:hAnsi="Aptos"/>
                <w:b w:val="0"/>
                <w:sz w:val="16"/>
              </w:rPr>
              <w:t>Search/discovery</w:t>
            </w:r>
          </w:p>
        </w:tc>
        <w:tc>
          <w:tcPr>
            <w:tcW w:type="dxa" w:w="3312"/>
            <w:vAlign w:val="center"/>
          </w:tcPr>
          <w:p>
            <w:r/>
            <w:r>
              <w:rPr>
                <w:rFonts w:ascii="Aptos" w:hAnsi="Aptos"/>
                <w:b w:val="0"/>
                <w:sz w:val="16"/>
              </w:rPr>
              <w:t>Enterprise directory lookup and discovery behaviour.</w:t>
            </w:r>
          </w:p>
        </w:tc>
      </w:tr>
      <w:tr>
        <w:tc>
          <w:tcPr>
            <w:tcW w:type="dxa" w:w="3312"/>
            <w:vAlign w:val="center"/>
          </w:tcPr>
          <w:p>
            <w:r/>
            <w:r>
              <w:rPr>
                <w:rFonts w:ascii="Aptos" w:hAnsi="Aptos"/>
                <w:b w:val="0"/>
                <w:sz w:val="16"/>
              </w:rPr>
              <w:t>6</w:t>
            </w:r>
          </w:p>
        </w:tc>
        <w:tc>
          <w:tcPr>
            <w:tcW w:type="dxa" w:w="3312"/>
            <w:vAlign w:val="center"/>
          </w:tcPr>
          <w:p>
            <w:r/>
            <w:r>
              <w:rPr>
                <w:rFonts w:ascii="Aptos" w:hAnsi="Aptos"/>
                <w:b w:val="0"/>
                <w:sz w:val="16"/>
              </w:rPr>
              <w:t>Electronic services</w:t>
            </w:r>
          </w:p>
        </w:tc>
        <w:tc>
          <w:tcPr>
            <w:tcW w:type="dxa" w:w="3312"/>
            <w:vAlign w:val="center"/>
          </w:tcPr>
          <w:p>
            <w:r/>
            <w:r>
              <w:rPr>
                <w:rFonts w:ascii="Aptos" w:hAnsi="Aptos"/>
                <w:b w:val="0"/>
                <w:sz w:val="16"/>
              </w:rPr>
              <w:t>Endpoints, capabilities, validation and publication.</w:t>
            </w:r>
          </w:p>
        </w:tc>
      </w:tr>
      <w:tr>
        <w:tc>
          <w:tcPr>
            <w:tcW w:type="dxa" w:w="3312"/>
            <w:vAlign w:val="center"/>
          </w:tcPr>
          <w:p>
            <w:r/>
            <w:r>
              <w:rPr>
                <w:rFonts w:ascii="Aptos" w:hAnsi="Aptos"/>
                <w:b w:val="0"/>
                <w:sz w:val="16"/>
              </w:rPr>
              <w:t>7</w:t>
            </w:r>
          </w:p>
        </w:tc>
        <w:tc>
          <w:tcPr>
            <w:tcW w:type="dxa" w:w="3312"/>
            <w:vAlign w:val="center"/>
          </w:tcPr>
          <w:p>
            <w:r/>
            <w:r>
              <w:rPr>
                <w:rFonts w:ascii="Aptos" w:hAnsi="Aptos"/>
                <w:b w:val="0"/>
                <w:sz w:val="16"/>
              </w:rPr>
              <w:t>Provider integration</w:t>
            </w:r>
          </w:p>
        </w:tc>
        <w:tc>
          <w:tcPr>
            <w:tcW w:type="dxa" w:w="3312"/>
            <w:vAlign w:val="center"/>
          </w:tcPr>
          <w:p>
            <w:r/>
            <w:r>
              <w:rPr>
                <w:rFonts w:ascii="Aptos" w:hAnsi="Aptos"/>
                <w:b w:val="0"/>
                <w:sz w:val="16"/>
              </w:rPr>
              <w:t>National/local ingestion, synchronisation and downstream publication.</w:t>
            </w:r>
          </w:p>
        </w:tc>
      </w:tr>
      <w:tr>
        <w:tc>
          <w:tcPr>
            <w:tcW w:type="dxa" w:w="3312"/>
            <w:vAlign w:val="center"/>
          </w:tcPr>
          <w:p>
            <w:r/>
            <w:r>
              <w:rPr>
                <w:rFonts w:ascii="Aptos" w:hAnsi="Aptos"/>
                <w:b w:val="0"/>
                <w:sz w:val="16"/>
              </w:rPr>
              <w:t>8+</w:t>
            </w:r>
          </w:p>
        </w:tc>
        <w:tc>
          <w:tcPr>
            <w:tcW w:type="dxa" w:w="3312"/>
            <w:vAlign w:val="center"/>
          </w:tcPr>
          <w:p>
            <w:r/>
            <w:r>
              <w:rPr>
                <w:rFonts w:ascii="Aptos" w:hAnsi="Aptos"/>
                <w:b w:val="0"/>
                <w:sz w:val="16"/>
              </w:rPr>
              <w:t>Other Harmonia domains</w:t>
            </w:r>
          </w:p>
        </w:tc>
        <w:tc>
          <w:tcPr>
            <w:tcW w:type="dxa" w:w="3312"/>
            <w:vAlign w:val="center"/>
          </w:tcPr>
          <w:p>
            <w:r/>
            <w:r>
              <w:rPr>
                <w:rFonts w:ascii="Aptos" w:hAnsi="Aptos"/>
                <w:b w:val="0"/>
                <w:sz w:val="16"/>
              </w:rPr>
              <w:t>Patient identity, consent, clinical and cross-domain capabilities.</w:t>
            </w:r>
          </w:p>
        </w:tc>
      </w:tr>
    </w:tbl>
    <w:p>
      <w:pPr>
        <w:pStyle w:val="Heading1"/>
      </w:pPr>
      <w:r>
        <w:t>13. Decisions to Preserve for Later Review</w:t>
      </w:r>
    </w:p>
    <w:p>
      <w:pPr>
        <w:pStyle w:val="ListBullet"/>
        <w:spacing w:after="40"/>
      </w:pPr>
      <w:r>
        <w:t>Whether 'Local Directory capability', 'Enterprise Local Directory' or another term becomes the formal Harmonia capability name.</w:t>
      </w:r>
    </w:p>
    <w:p>
      <w:pPr>
        <w:pStyle w:val="ListBullet"/>
        <w:spacing w:after="40"/>
      </w:pPr>
      <w:r>
        <w:t>Whether Harmonia consumes the national Provider Directory directly, through a HIPS-hosted LDS, through both, or through a jurisdictional intermediary.</w:t>
      </w:r>
    </w:p>
    <w:p>
      <w:pPr>
        <w:pStyle w:val="ListBullet"/>
        <w:spacing w:after="40"/>
      </w:pPr>
      <w:r>
        <w:t>The exact mapping between the Health Connect Australia Provider Directory FHIR model and Harmonia's canonical provider/service model.</w:t>
      </w:r>
    </w:p>
    <w:p>
      <w:pPr>
        <w:pStyle w:val="ListBullet"/>
        <w:spacing w:after="40"/>
      </w:pPr>
      <w:r>
        <w:t>Authority/conflict rules where national, jurisdictional and local sources disagree.</w:t>
      </w:r>
    </w:p>
    <w:p>
      <w:pPr>
        <w:pStyle w:val="ListBullet"/>
        <w:spacing w:after="40"/>
      </w:pPr>
      <w:r>
        <w:t>How much provider-directory persistence belongs in common Mnemosyne versus a specialised provider-domain persistence module.</w:t>
      </w:r>
    </w:p>
    <w:p>
      <w:pPr>
        <w:pStyle w:val="ListBullet"/>
        <w:spacing w:after="40"/>
      </w:pPr>
      <w:r>
        <w:t>The operational model for full rebuild, incremental synchronisation, failure recovery and downstream change publication.</w:t>
      </w:r>
    </w:p>
    <w:p>
      <w:pPr>
        <w:pStyle w:val="ListBullet"/>
        <w:spacing w:after="40"/>
      </w:pPr>
      <w:r>
        <w:t>The boundary between local directory enrichment and source-system master-data ownership.</w:t>
      </w:r>
    </w:p>
    <w:p>
      <w:pPr>
        <w:pStyle w:val="Heading1"/>
      </w:pPr>
      <w:r>
        <w:t>14. Current External Context</w:t>
      </w:r>
    </w:p>
    <w:p>
      <w:r>
        <w:t>At the time of this position (September 2026), the Agency describes HIPS v9.1 as current middleware for integration with national digital health infrastructure. The announced Health Connect Australia Provider Directory transition includes FHIR-based APIs, bulk download, and a HIPS-hosted LDS. The published Provider Directory API material describes real-time FHIR search/read plus asynchronous bulk export, with standard export for establishing a local copy and incremental export for keeping that copy synchronised.</w:t>
      </w:r>
    </w:p>
    <w:p>
      <w:r>
        <w:t>These external directions support the architectural pattern described here, but Harmonia's strategy should not depend on a particular future HIPS implementation detail. Detailed HIPS implementation material may require access to the Agency's restricted Collaborate resources.</w:t>
      </w:r>
    </w:p>
    <w:p>
      <w:pPr>
        <w:pStyle w:val="Heading1"/>
      </w:pPr>
      <w:r>
        <w:t>15. References</w:t>
      </w:r>
    </w:p>
    <w:p>
      <w:pPr>
        <w:pStyle w:val="ListBullet"/>
      </w:pPr>
      <w:r>
        <w:t>Australian Digital Health Agency, Healthcare Information Provider Service (HIPS), Digital Health Implementer Hub, accessed September 2026.</w:t>
      </w:r>
    </w:p>
    <w:p>
      <w:pPr>
        <w:pStyle w:val="ListBullet"/>
      </w:pPr>
      <w:r>
        <w:t>Australian Digital Health Agency, HIPS Product Data Sheet v9.1, 2026.</w:t>
      </w:r>
    </w:p>
    <w:p>
      <w:pPr>
        <w:pStyle w:val="ListBullet"/>
      </w:pPr>
      <w:r>
        <w:t>Australian Digital Health Agency, Partnership Pulse – Edition 8, Health Connect Australia Provider Directory transition, September 2026.</w:t>
      </w:r>
    </w:p>
    <w:p>
      <w:pPr>
        <w:pStyle w:val="ListBullet"/>
      </w:pPr>
      <w:r>
        <w:t>Australian Digital Health Agency, Health Connect Australia Provider Directory FHIR Implementation Guide v26.0.0 — API Overview and Export API Technical Specification, 2026.</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Harmonia — Strategic Architecture Position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444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