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before="0"/>
      </w:pPr>
      <w:r>
        <w:rPr>
          <w:rFonts w:ascii="Arial" w:cs="Arial" w:eastAsia="Arial" w:hAnsi="Arial"/>
          <w:b/>
          <w:bCs/>
          <w:color w:val="1F3B6E"/>
          <w:sz w:val="32"/>
          <w:szCs w:val="32"/>
        </w:rPr>
        <w:t xml:space="preserve">ACUITY-FIRST</w:t>
      </w:r>
    </w:p>
    <w:p>
      <w:pPr>
        <w:spacing w:after="14" w:before="0"/>
      </w:pPr>
      <w:r>
        <w:rPr>
          <w:rFonts w:ascii="Arial" w:cs="Arial" w:eastAsia="Arial" w:hAnsi="Arial"/>
          <w:color w:val="444444"/>
          <w:sz w:val="20"/>
          <w:szCs w:val="20"/>
        </w:rPr>
        <w:t xml:space="preserve">Clinical Decision Making &amp; AI-Driven Pattern Recognition for Equitable Hospital Bed Allocation</w:t>
      </w:r>
    </w:p>
    <w:p>
      <w:pPr>
        <w:pBdr>
          <w:bottom w:val="single" w:color="1F3B6E" w:sz="6" w:space="2"/>
        </w:pBdr>
        <w:spacing w:after="80" w:before="0"/>
      </w:pPr>
      <w:r>
        <w:rPr>
          <w:rFonts w:ascii="Arial" w:cs="Arial" w:eastAsia="Arial" w:hAnsi="Arial"/>
          <w:i/>
          <w:iCs/>
          <w:color w:val="666666"/>
          <w:sz w:val="17"/>
          <w:szCs w:val="17"/>
        </w:rPr>
        <w:t xml:space="preserve">Leena Rajan Katkar  |  University of Southern California  |  June 2026</w:t>
      </w:r>
    </w:p>
    <w:p>
      <w:pPr>
        <w:pBdr>
          <w:bottom w:val="single" w:color="1F3B6E" w:sz="3" w:space="1"/>
        </w:pBdr>
        <w:spacing w:after="40" w:before="100"/>
      </w:pPr>
      <w:r>
        <w:rPr>
          <w:rFonts w:ascii="Arial" w:cs="Arial" w:eastAsia="Arial" w:hAnsi="Arial"/>
          <w:b/>
          <w:bCs/>
          <w:color w:val="1F3B6E"/>
          <w:sz w:val="22"/>
          <w:szCs w:val="22"/>
        </w:rPr>
        <w:t xml:space="preserve">Concept Definition</w:t>
      </w:r>
    </w:p>
    <w:p>
      <w:pPr>
        <w:spacing w:after="60" w:before="0" w:line="240" w:lineRule="auto"/>
        <w:jc w:val="both"/>
      </w:pPr>
      <w:r>
        <w:rPr>
          <w:rFonts w:ascii="Arial" w:cs="Arial" w:eastAsia="Arial" w:hAnsi="Arial"/>
          <w:color w:val="1A1A1A"/>
          <w:sz w:val="20"/>
          <w:szCs w:val="20"/>
        </w:rPr>
        <w:t xml:space="preserve">Clinical Decision Making and Pattern Recognition in Health Care applies computational intelligence—classification models, predictive algorithms, agentic AI, and chain reasoning—to translate patient data into actionable clinical guidance. Most consequentially, this applies to hospital bed allocation: the real-time decision of where a patient goes upon arrival. In the U.S., that decision has long been shaped by two competing forces—clinical urgency and institutional financial interest. This report examines how AI-driven acuity scoring can reassign beds by disease severity rather than profit margin, and how Cotiviti can lead that shift.</w:t>
      </w:r>
    </w:p>
    <w:p>
      <w:pPr>
        <w:pBdr>
          <w:bottom w:val="single" w:color="1F3B6E" w:sz="3" w:space="1"/>
        </w:pBdr>
        <w:spacing w:after="40" w:before="100"/>
      </w:pPr>
      <w:r>
        <w:rPr>
          <w:rFonts w:ascii="Arial" w:cs="Arial" w:eastAsia="Arial" w:hAnsi="Arial"/>
          <w:b/>
          <w:bCs/>
          <w:color w:val="1F3B6E"/>
          <w:sz w:val="22"/>
          <w:szCs w:val="22"/>
        </w:rPr>
        <w:t xml:space="preserve">The Past: Scoring Systems in a Fee-for-Service World</w:t>
      </w:r>
    </w:p>
    <w:p>
      <w:pPr>
        <w:spacing w:after="60" w:before="0" w:line="240" w:lineRule="auto"/>
        <w:jc w:val="both"/>
      </w:pPr>
      <w:r>
        <w:rPr>
          <w:rFonts w:ascii="Arial" w:cs="Arial" w:eastAsia="Arial" w:hAnsi="Arial"/>
          <w:color w:val="1A1A1A"/>
          <w:sz w:val="20"/>
          <w:szCs w:val="20"/>
        </w:rPr>
        <w:t xml:space="preserve">Standardized acuity began with the Glasgow Coma Scale (1974) and APACHE system (1981)—paper-based instruments applied post-admission with no link to real-time bed routing (Teasdale &amp; Jennett, 1974; Knaus et al., 1981). In 1983, Medicare's Diagnosis-Related Group (DRG) prospective payment system tied reimbursement to discharge diagnosis, incentivizing hospitals to prioritize high-margin service lines—elective cardiac procedures, joint replacements—over clinically urgent but financially marginal cases (Evidence Care, 2024). The SOFA score (1994) and original NEWS (2012) improved triage consistency but remained siloed from operational bed management. EHR adoption under the HITECH Act (2009) created the data substrate for modern approaches, yet clinical decision support through the early 2010s stayed reactive and financially disconnected.</w:t>
      </w:r>
    </w:p>
    <w:p>
      <w:pPr>
        <w:pBdr>
          <w:bottom w:val="single" w:color="1F3B6E" w:sz="3" w:space="1"/>
        </w:pBdr>
        <w:spacing w:after="40" w:before="100"/>
      </w:pPr>
      <w:r>
        <w:rPr>
          <w:rFonts w:ascii="Arial" w:cs="Arial" w:eastAsia="Arial" w:hAnsi="Arial"/>
          <w:b/>
          <w:bCs/>
          <w:color w:val="1F3B6E"/>
          <w:sz w:val="22"/>
          <w:szCs w:val="22"/>
        </w:rPr>
        <w:t xml:space="preserve">The Present: Machine Learning Meets Acuity Scoring</w:t>
      </w:r>
    </w:p>
    <w:p>
      <w:pPr>
        <w:spacing w:after="60" w:before="0" w:line="240" w:lineRule="auto"/>
        <w:jc w:val="both"/>
      </w:pPr>
      <w:r>
        <w:rPr>
          <w:rFonts w:ascii="Arial" w:cs="Arial" w:eastAsia="Arial" w:hAnsi="Arial"/>
          <w:color w:val="1A1A1A"/>
          <w:sz w:val="20"/>
          <w:szCs w:val="20"/>
        </w:rPr>
        <w:t xml:space="preserve">NEWS2 (Royal College of Physicians, 2017) is now the gold standard, aggregating seven physiological parameters into a composite risk score validated at AUROC 0.86 for in-hospital mortality and 0.75 for ICU admission (Siddiqui et al., 2025). Machine learning has extended this: XGBoost, random forest, and LSTM ensembles trained on MIMIC-III and eICU-CRD databases predict ICU readmission with high generalizability (The Lancet, 2025). Yet a critical equity failure has been documented—SOFA-based ICU allocation during COVID-19 required Black and Hispanic patients to present measurably higher severity than white patients for equivalent resources (NIHCM, 2022; Health Affairs, 2024). This is structural: historical clinical data encode prior inequities, and ML models amplify them without active correction.</w:t>
      </w:r>
    </w:p>
    <w:p>
      <w:pPr>
        <w:pBdr>
          <w:bottom w:val="single" w:color="1F3B6E" w:sz="3" w:space="1"/>
        </w:pBdr>
        <w:spacing w:after="40" w:before="100"/>
      </w:pPr>
      <w:r>
        <w:rPr>
          <w:rFonts w:ascii="Arial" w:cs="Arial" w:eastAsia="Arial" w:hAnsi="Arial"/>
          <w:b/>
          <w:bCs/>
          <w:color w:val="1F3B6E"/>
          <w:sz w:val="22"/>
          <w:szCs w:val="22"/>
        </w:rPr>
        <w:t xml:space="preserve">The Future: Agentic AI and Real-Time Equitable Allocation</w:t>
      </w:r>
    </w:p>
    <w:p>
      <w:pPr>
        <w:spacing w:after="60" w:before="0" w:line="240" w:lineRule="auto"/>
        <w:jc w:val="both"/>
      </w:pPr>
      <w:r>
        <w:rPr>
          <w:rFonts w:ascii="Arial" w:cs="Arial" w:eastAsia="Arial" w:hAnsi="Arial"/>
          <w:color w:val="1A1A1A"/>
          <w:sz w:val="20"/>
          <w:szCs w:val="20"/>
        </w:rPr>
        <w:t xml:space="preserve">Agentic AI systems—capable of autonomous multi-step reasoning and continuous monitoring—are emerging as the next frontier. A 2026 npj Digital Medicine scoping review describes autonomous clinical agents that monitor EHR streams and wearable data continuously, recalculate acuity in real time, and surface bed recommendations before deterioration becomes a crisis (npj Digital Medicine, 2026). Chain reasoning makes each decision auditable: rather than a black-box output, the system exposes a step-by-step logic chain giving clinicians transparent grounds to accept or override. Over 80% of healthcare executives expect agentic AI to deliver significant value across clinical and operational functions by end of 2026 (Deloitte, 2026).</w:t>
      </w:r>
    </w:p>
    <w:p>
      <w:pPr>
        <w:pBdr>
          <w:bottom w:val="single" w:color="1F3B6E" w:sz="3" w:space="1"/>
        </w:pBdr>
        <w:spacing w:after="40" w:before="100"/>
      </w:pPr>
      <w:r>
        <w:rPr>
          <w:rFonts w:ascii="Arial" w:cs="Arial" w:eastAsia="Arial" w:hAnsi="Arial"/>
          <w:b/>
          <w:bCs/>
          <w:color w:val="1F3B6E"/>
          <w:sz w:val="22"/>
          <w:szCs w:val="22"/>
        </w:rPr>
        <w:t xml:space="preserve">Opportunities</w:t>
      </w:r>
    </w:p>
    <w:p>
      <w:pPr>
        <w:spacing w:after="60" w:before="0" w:line="240" w:lineRule="auto"/>
        <w:jc w:val="both"/>
      </w:pPr>
      <w:r>
        <w:rPr>
          <w:rFonts w:ascii="Arial" w:cs="Arial" w:eastAsia="Arial" w:hAnsi="Arial"/>
          <w:color w:val="1A1A1A"/>
          <w:sz w:val="20"/>
          <w:szCs w:val="20"/>
        </w:rPr>
        <w:t xml:space="preserve">Value-based care creates direct alignment between payer incentives and acuity-first allocation—early appropriate placement reduces downstream complication costs and readmission penalties. Cotiviti's March 2025 acquisition of Edifecs expanded its data interoperability infrastructure, enabling multi-system EHR ingestion at the scale required for real-time scoring (Edifecs, 2025). The HHS 2022 proposed rulemaking prohibiting discriminatory clinical algorithms creates both regulatory urgency and market differentiation for equity-audited tools. No major analytics vendor has yet productized a payer-facing, equity-audited bed allocation intelligence layer—this is open white space.</w:t>
      </w:r>
    </w:p>
    <w:p>
      <w:pPr>
        <w:pBdr>
          <w:bottom w:val="single" w:color="1F3B6E" w:sz="3" w:space="1"/>
        </w:pBdr>
        <w:spacing w:after="40" w:before="100"/>
      </w:pPr>
      <w:r>
        <w:rPr>
          <w:rFonts w:ascii="Arial" w:cs="Arial" w:eastAsia="Arial" w:hAnsi="Arial"/>
          <w:b/>
          <w:bCs/>
          <w:color w:val="1F3B6E"/>
          <w:sz w:val="22"/>
          <w:szCs w:val="22"/>
        </w:rPr>
        <w:t xml:space="preserve">Threats</w:t>
      </w:r>
    </w:p>
    <w:p>
      <w:pPr>
        <w:spacing w:after="60" w:before="0" w:line="240" w:lineRule="auto"/>
        <w:jc w:val="both"/>
      </w:pPr>
      <w:r>
        <w:rPr>
          <w:rFonts w:ascii="Arial" w:cs="Arial" w:eastAsia="Arial" w:hAnsi="Arial"/>
          <w:color w:val="1A1A1A"/>
          <w:sz w:val="20"/>
          <w:szCs w:val="20"/>
        </w:rPr>
        <w:t xml:space="preserve">Algorithmic bias is the foremost risk: any model trained on inequitable historical data perpetuates disparities unless corrected through fairness-constrained development (Health Affairs, 2024). Hospital resistance is substantial—DRG incentives benefit health systems financially, and redirecting high-margin beds toward clinically urgent but less profitable patients creates organizational friction. HIPAA compliance and the unresolved liability landscape for autonomous clinical AI add further structural barriers.</w:t>
      </w:r>
    </w:p>
    <w:p>
      <w:pPr>
        <w:pBdr>
          <w:bottom w:val="single" w:color="1F3B6E" w:sz="3" w:space="1"/>
        </w:pBdr>
        <w:spacing w:after="40" w:before="100"/>
      </w:pPr>
      <w:r>
        <w:rPr>
          <w:rFonts w:ascii="Arial" w:cs="Arial" w:eastAsia="Arial" w:hAnsi="Arial"/>
          <w:b/>
          <w:bCs/>
          <w:color w:val="1F3B6E"/>
          <w:sz w:val="22"/>
          <w:szCs w:val="22"/>
        </w:rPr>
        <w:t xml:space="preserve">Strategic Recommendations for Cotiviti</w:t>
      </w:r>
    </w:p>
    <w:p>
      <w:pPr>
        <w:spacing w:after="60" w:before="0" w:line="240" w:lineRule="auto"/>
        <w:jc w:val="both"/>
      </w:pPr>
      <w:r>
        <w:rPr>
          <w:rFonts w:ascii="Arial" w:cs="Arial" w:eastAsia="Arial" w:hAnsi="Arial"/>
          <w:b/>
          <w:bCs/>
          <w:color w:val="1A1A1A"/>
          <w:sz w:val="20"/>
          <w:szCs w:val="20"/>
        </w:rPr>
        <w:t xml:space="preserve">1.  ClinicalRoute AI — </w:t>
      </w:r>
      <w:r>
        <w:rPr>
          <w:rFonts w:ascii="Arial" w:cs="Arial" w:eastAsia="Arial" w:hAnsi="Arial"/>
          <w:b w:val="false"/>
          <w:bCs w:val="false"/>
          <w:color w:val="1A1A1A"/>
          <w:sz w:val="20"/>
          <w:szCs w:val="20"/>
        </w:rPr>
        <w:t xml:space="preserve">Build a payer-facing acuity intelligence layer: ingest real-time EHR vitals, compute NEWS2-enhanced severity scores, generate chain-reasoning bed-type recommendations (ICU / Step-Down / General / Observation) with a full audit trail. Positioned within Cotiviti's Payment Accuracy suite, this enables payers to audit whether hospitals allocated beds by clinical severity—a novel dimension of payment integrity.</w:t>
      </w:r>
    </w:p>
    <w:p>
      <w:pPr>
        <w:spacing w:after="50" w:before="0"/>
      </w:pPr>
    </w:p>
    <w:p>
      <w:pPr>
        <w:spacing w:after="60" w:before="0" w:line="240" w:lineRule="auto"/>
        <w:jc w:val="both"/>
      </w:pPr>
      <w:r>
        <w:rPr>
          <w:rFonts w:ascii="Arial" w:cs="Arial" w:eastAsia="Arial" w:hAnsi="Arial"/>
          <w:b/>
          <w:bCs/>
          <w:color w:val="1A1A1A"/>
          <w:sz w:val="20"/>
          <w:szCs w:val="20"/>
        </w:rPr>
        <w:t xml:space="preserve">2.  Equity Monitoring Module — </w:t>
      </w:r>
      <w:r>
        <w:rPr>
          <w:rFonts w:ascii="Arial" w:cs="Arial" w:eastAsia="Arial" w:hAnsi="Arial"/>
          <w:b w:val="false"/>
          <w:bCs w:val="false"/>
          <w:color w:val="1A1A1A"/>
          <w:sz w:val="20"/>
          <w:szCs w:val="20"/>
        </w:rPr>
        <w:t xml:space="preserve">Integrate a fairness auditing layer that disaggregates bed allocation outcomes by race, ethnicity, insurance type, and geography, flagging disparities aligned with HHS anti-discrimination rulemaking. Operationalizing equity as a measurable product feature differentiates Cotiviti from every competitor.</w:t>
      </w:r>
    </w:p>
    <w:p>
      <w:pPr>
        <w:spacing w:after="50" w:before="0"/>
      </w:pPr>
    </w:p>
    <w:p>
      <w:pPr>
        <w:spacing w:after="60" w:before="0" w:line="240" w:lineRule="auto"/>
        <w:jc w:val="both"/>
      </w:pPr>
      <w:r>
        <w:rPr>
          <w:rFonts w:ascii="Arial" w:cs="Arial" w:eastAsia="Arial" w:hAnsi="Arial"/>
          <w:b/>
          <w:bCs/>
          <w:color w:val="1A1A1A"/>
          <w:sz w:val="20"/>
          <w:szCs w:val="20"/>
        </w:rPr>
        <w:t xml:space="preserve">3.  Agentic Pilot Program — </w:t>
      </w:r>
      <w:r>
        <w:rPr>
          <w:rFonts w:ascii="Arial" w:cs="Arial" w:eastAsia="Arial" w:hAnsi="Arial"/>
          <w:b w:val="false"/>
          <w:bCs w:val="false"/>
          <w:color w:val="1A1A1A"/>
          <w:sz w:val="20"/>
          <w:szCs w:val="20"/>
        </w:rPr>
        <w:t xml:space="preserve">Partner with two to three health systems to pilot an autonomous bed management agent that monitors deterioration signals continuously and surfaces recommendations pre-crisis with full clinician override. Use pilot outcomes to build the commercial evidence base for scaled deployment.</w:t>
      </w:r>
    </w:p>
    <w:p>
      <w:pPr>
        <w:pBdr>
          <w:bottom w:val="single" w:color="1F3B6E" w:sz="4" w:space="2"/>
        </w:pBdr>
        <w:spacing w:after="60" w:before="100"/>
      </w:pPr>
      <w:r>
        <w:rPr>
          <w:rFonts w:ascii="Arial" w:cs="Arial" w:eastAsia="Arial" w:hAnsi="Arial"/>
          <w:b/>
          <w:bCs/>
          <w:color w:val="1F3B6E"/>
          <w:sz w:val="20"/>
          <w:szCs w:val="20"/>
        </w:rPr>
        <w:t xml:space="preserve">References</w:t>
      </w:r>
    </w:p>
    <w:p>
      <w:pPr>
        <w:spacing w:after="50" w:before="0" w:line="228" w:lineRule="auto"/>
        <w:ind w:left="500" w:hanging="500"/>
      </w:pPr>
      <w:r>
        <w:rPr>
          <w:rFonts w:ascii="Arial" w:cs="Arial" w:eastAsia="Arial" w:hAnsi="Arial"/>
          <w:color w:val="1A1A1A"/>
          <w:sz w:val="16"/>
          <w:szCs w:val="16"/>
        </w:rPr>
        <w:t xml:space="preserve">Cotiviti. (2025). Healthcare analytics solutions. https://www.cotiviti.com/solutions</w:t>
      </w:r>
    </w:p>
    <w:p>
      <w:pPr>
        <w:spacing w:after="50" w:before="0" w:line="228" w:lineRule="auto"/>
        <w:ind w:left="500" w:hanging="500"/>
      </w:pPr>
      <w:r>
        <w:rPr>
          <w:rFonts w:ascii="Arial" w:cs="Arial" w:eastAsia="Arial" w:hAnsi="Arial"/>
          <w:color w:val="1A1A1A"/>
          <w:sz w:val="16"/>
          <w:szCs w:val="16"/>
        </w:rPr>
        <w:t xml:space="preserve">Deloitte. (2026). Many health care leaders are leaning into agentic AI. https://www.deloitte.com/us/en/insights/industry/health-care/agentic-ai-health-care-operating-model-change.html</w:t>
      </w:r>
    </w:p>
    <w:p>
      <w:pPr>
        <w:spacing w:after="50" w:before="0" w:line="228" w:lineRule="auto"/>
        <w:ind w:left="500" w:hanging="500"/>
      </w:pPr>
      <w:r>
        <w:rPr>
          <w:rFonts w:ascii="Arial" w:cs="Arial" w:eastAsia="Arial" w:hAnsi="Arial"/>
          <w:color w:val="1A1A1A"/>
          <w:sz w:val="16"/>
          <w:szCs w:val="16"/>
        </w:rPr>
        <w:t xml:space="preserve">Edifecs. (2025). Cotiviti completes acquisition of Edifecs. https://www.edifecs.com/newsroom/2025-cotiviti-completes-acquisition-of-edifecs</w:t>
      </w:r>
    </w:p>
    <w:p>
      <w:pPr>
        <w:spacing w:after="50" w:before="0" w:line="228" w:lineRule="auto"/>
        <w:ind w:left="500" w:hanging="500"/>
      </w:pPr>
      <w:r>
        <w:rPr>
          <w:rFonts w:ascii="Arial" w:cs="Arial" w:eastAsia="Arial" w:hAnsi="Arial"/>
          <w:color w:val="1A1A1A"/>
          <w:sz w:val="16"/>
          <w:szCs w:val="16"/>
        </w:rPr>
        <w:t xml:space="preserve">Evidence Care. (2024). Understanding DRG codes and their impact on hospitals. https://evidence.care/understanding-drg-codes-and-their-impact-on-hospitals/</w:t>
      </w:r>
    </w:p>
    <w:p>
      <w:pPr>
        <w:spacing w:after="50" w:before="0" w:line="228" w:lineRule="auto"/>
        <w:ind w:left="500" w:hanging="500"/>
      </w:pPr>
      <w:r>
        <w:rPr>
          <w:rFonts w:ascii="Arial" w:cs="Arial" w:eastAsia="Arial" w:hAnsi="Arial"/>
          <w:color w:val="1A1A1A"/>
          <w:sz w:val="16"/>
          <w:szCs w:val="16"/>
        </w:rPr>
        <w:t xml:space="preserve">Health Affairs. (2024). Mitigating racial and ethnic bias in clinical algorithms. https://www.healthaffairs.org/doi/10.1377/hlthaff.2023.00553</w:t>
      </w:r>
    </w:p>
    <w:p>
      <w:pPr>
        <w:spacing w:after="50" w:before="0" w:line="228" w:lineRule="auto"/>
        <w:ind w:left="500" w:hanging="500"/>
      </w:pPr>
      <w:r>
        <w:rPr>
          <w:rFonts w:ascii="Arial" w:cs="Arial" w:eastAsia="Arial" w:hAnsi="Arial"/>
          <w:color w:val="1A1A1A"/>
          <w:sz w:val="16"/>
          <w:szCs w:val="16"/>
        </w:rPr>
        <w:t xml:space="preserve">Knaus, W. A., et al. (1981). APACHE: A physiologically based classification system. Critical Care Medicine, 9(8), 591–597.</w:t>
      </w:r>
    </w:p>
    <w:p>
      <w:pPr>
        <w:spacing w:after="50" w:before="0" w:line="228" w:lineRule="auto"/>
        <w:ind w:left="500" w:hanging="500"/>
      </w:pPr>
      <w:r>
        <w:rPr>
          <w:rFonts w:ascii="Arial" w:cs="Arial" w:eastAsia="Arial" w:hAnsi="Arial"/>
          <w:color w:val="1A1A1A"/>
          <w:sz w:val="16"/>
          <w:szCs w:val="16"/>
        </w:rPr>
        <w:t xml:space="preserve">NIHCM. (2022). Racial bias in health care artificial intelligence. https://nihcm.org/publications/artificial-intelligences-racial-bias-in-health-care</w:t>
      </w:r>
    </w:p>
    <w:p>
      <w:pPr>
        <w:spacing w:after="50" w:before="0" w:line="228" w:lineRule="auto"/>
        <w:ind w:left="500" w:hanging="500"/>
      </w:pPr>
      <w:r>
        <w:rPr>
          <w:rFonts w:ascii="Arial" w:cs="Arial" w:eastAsia="Arial" w:hAnsi="Arial"/>
          <w:color w:val="1A1A1A"/>
          <w:sz w:val="16"/>
          <w:szCs w:val="16"/>
        </w:rPr>
        <w:t xml:space="preserve">npj Digital Medicine. (2026). The role of agentic AI in healthcare: A scoping review. https://www.nature.com/articles/s41746-026-02517-5</w:t>
      </w:r>
    </w:p>
    <w:p>
      <w:pPr>
        <w:spacing w:after="50" w:before="0" w:line="228" w:lineRule="auto"/>
        <w:ind w:left="500" w:hanging="500"/>
      </w:pPr>
      <w:r>
        <w:rPr>
          <w:rFonts w:ascii="Arial" w:cs="Arial" w:eastAsia="Arial" w:hAnsi="Arial"/>
          <w:color w:val="1A1A1A"/>
          <w:sz w:val="16"/>
          <w:szCs w:val="16"/>
        </w:rPr>
        <w:t xml:space="preserve">Royal College of Physicians. (2017). National Early Warning Score (NEWS) 2. https://www.rcp.ac.uk/improving-care/resources/national-early-warning-score-news-2/</w:t>
      </w:r>
    </w:p>
    <w:p>
      <w:pPr>
        <w:spacing w:after="50" w:before="0" w:line="228" w:lineRule="auto"/>
        <w:ind w:left="500" w:hanging="500"/>
      </w:pPr>
      <w:r>
        <w:rPr>
          <w:rFonts w:ascii="Arial" w:cs="Arial" w:eastAsia="Arial" w:hAnsi="Arial"/>
          <w:color w:val="1A1A1A"/>
          <w:sz w:val="16"/>
          <w:szCs w:val="16"/>
        </w:rPr>
        <w:t xml:space="preserve">Siddiqui, H., et al. (2025). NEWS2 as a prognostic tool in the emergency department. PMC. https://www.ncbi.nlm.nih.gov/pmc/articles/PMC12169516/</w:t>
      </w:r>
    </w:p>
    <w:p>
      <w:pPr>
        <w:spacing w:after="50" w:before="0" w:line="228" w:lineRule="auto"/>
        <w:ind w:left="500" w:hanging="500"/>
      </w:pPr>
      <w:r>
        <w:rPr>
          <w:rFonts w:ascii="Arial" w:cs="Arial" w:eastAsia="Arial" w:hAnsi="Arial"/>
          <w:color w:val="1A1A1A"/>
          <w:sz w:val="16"/>
          <w:szCs w:val="16"/>
        </w:rPr>
        <w:t xml:space="preserve">Teasdale, G., &amp; Jennett, B. (1974). Assessment of coma and impaired consciousness. The Lancet, 304(7872), 81–84.</w:t>
      </w:r>
    </w:p>
    <w:p>
      <w:pPr>
        <w:spacing w:after="50" w:before="0" w:line="228" w:lineRule="auto"/>
        <w:ind w:left="500" w:hanging="500"/>
      </w:pPr>
      <w:r>
        <w:rPr>
          <w:rFonts w:ascii="Arial" w:cs="Arial" w:eastAsia="Arial" w:hAnsi="Arial"/>
          <w:color w:val="1A1A1A"/>
          <w:sz w:val="16"/>
          <w:szCs w:val="16"/>
        </w:rPr>
        <w:t xml:space="preserve">The Lancet eClinicalMedicine. (2025). Multicenter validation of ICU readmission prediction model. https://www.thelancet.com/journals/eclinm/article/PIIS2589-5370(25)00044-6/fulltext</w:t>
      </w:r>
    </w:p>
    <w:sectPr>
      <w:headerReference w:type="default" r:id="rId7"/>
      <w:footerReference w:type="default" r:id="rId8"/>
      <w:pgSz w:w="12240" w:h="15840" w:orient="portrait"/>
      <w:pgMar w:top="810" w:right="1152" w:bottom="81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B6E" w:sz="3" w:space="1"/>
      </w:pBdr>
      <w:tabs>
        <w:tab w:val="right" w:pos="9360"/>
      </w:tabs>
    </w:pPr>
    <w:r>
      <w:rPr>
        <w:rFonts w:ascii="Arial" w:cs="Arial" w:eastAsia="Arial" w:hAnsi="Arial"/>
        <w:color w:val="666666"/>
        <w:sz w:val="16"/>
        <w:szCs w:val="16"/>
      </w:rPr>
      <w:t xml:space="preserve">Cotiviti Intern Assessment  |  June 2026</w:t>
    </w:r>
    <w:r>
      <w:rPr>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B6E" w:sz="3" w:space="1"/>
      </w:pBdr>
      <w:tabs>
        <w:tab w:val="right" w:pos="9360"/>
      </w:tabs>
    </w:pPr>
    <w:r>
      <w:rPr>
        <w:rFonts w:ascii="Arial" w:cs="Arial" w:eastAsia="Arial" w:hAnsi="Arial"/>
        <w:color w:val="666666"/>
        <w:sz w:val="16"/>
        <w:szCs w:val="16"/>
      </w:rPr>
      <w:t xml:space="preserve">Acuity-First: Clinical Decision Making &amp; AI-Driven Bed Allocation</w:t>
    </w:r>
    <w:r>
      <w:rPr>
        <w:sz w:val="16"/>
        <w:szCs w:val="16"/>
      </w:rPr>
      <w:t xml:space="preserve">	</w:t>
    </w:r>
    <w:r>
      <w:rPr>
        <w:rFonts w:ascii="Arial" w:cs="Arial" w:eastAsia="Arial" w:hAnsi="Arial"/>
        <w:color w:val="666666"/>
        <w:sz w:val="16"/>
        <w:szCs w:val="16"/>
      </w:rPr>
      <w:t xml:space="preserve">Leena Rajan Katkar  |  USC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2026-06-25T18:43:05.447Z</dcterms:created>
  <dcterms:modified xsi:type="dcterms:W3CDTF">2026-06-25T18:43:05.449Z</dcterms:modified>
</cp:coreProperties>
</file>

<file path=docProps/custom.xml><?xml version="1.0" encoding="utf-8"?>
<Properties xmlns="http://schemas.openxmlformats.org/officeDocument/2006/custom-properties" xmlns:vt="http://schemas.openxmlformats.org/officeDocument/2006/docPropsVTypes"/>
</file>