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360" w:line="360" w:lineRule="auto"/>
        <w:jc w:val="center"/>
      </w:pPr>
      <w:r>
        <w:rPr>
          <w:rFonts w:hint="eastAsia" w:ascii="Arial" w:hAnsi="Arial" w:eastAsia="微软雅黑"/>
          <w:b w:val="1"/>
          <w:bCs w:val="1"/>
          <w:sz w:val="32"/>
          <w:szCs w:val="32"/>
        </w:rPr>
        <w:t>刚果（金）金沙萨欧佐内饮用水处理厂三期工程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在非洲中部，有一座不断发展的城市——金沙萨。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这里是刚果民主共和国首都，常住人口超过</w:t>
      </w:r>
      <w:r>
        <w:rPr>
          <w:rFonts w:hint="eastAsia" w:ascii="Times New Roman" w:hAnsi="Times New Roman" w:eastAsia="宋体"/>
          <w:sz w:val="24"/>
          <w:szCs w:val="24"/>
        </w:rPr>
        <w:t>20</w:t>
      </w:r>
      <w:r>
        <w:rPr>
          <w:rFonts w:hint="eastAsia" w:ascii="Times New Roman" w:hAnsi="Times New Roman" w:eastAsia="宋体"/>
          <w:sz w:val="24"/>
          <w:szCs w:val="24"/>
        </w:rPr>
        <w:t>00万，城市供水普及率却不足50%。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在金沙萨西部，刚果河从城市旁流过。这里，是欧佐内饮用水处理厂。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为改善金沙萨城市供水条件，刚果（金）政府联合世界银行等机构，对欧佐内水厂进行分期扩建。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三期工程新增日供水能力11万立方米，建成后总供水能力达33万立方米，可惠及约600万居民。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项目采用EPC+O总承包模式，由威海国际经济技术合作股份有限公司负责实施，2023年6月签约，2024年1月正式开工。</w:t>
      </w:r>
    </w:p>
    <w:p>
      <w:pPr>
        <w:pBdr>
          <w:bottom w:val="single" w:color="AAAAAA" w:sz="4" w:space="1"/>
        </w:pBdr>
        <w:spacing w:before="120" w:after="240"/>
      </w:pP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一座水厂，首先要解决的是水从哪里来。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三期工程在刚果河上建设取水构筑物和取水泵房，并配套建设取水栈桥、清污船和河岸防护设施。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原水进入水厂，经混合、絮凝、沉淀、过滤、消毒等工艺处理，依次通过混合池、絮凝沉淀池、V型滤池、消毒池、清水池和均质池。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处理后的水，由供水泵房送入城市供水管网。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同时，项目建设加药、次氯酸钠发生、配电、中控、实验室和维修等配套设施，构成完整的供水工程体系。</w:t>
      </w:r>
    </w:p>
    <w:p>
      <w:pPr>
        <w:pBdr>
          <w:bottom w:val="single" w:color="AAAAAA" w:sz="4" w:space="1"/>
        </w:pBdr>
        <w:spacing w:before="120" w:after="240"/>
      </w:pP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大型水厂，质量控制贯穿施工全过程。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项目开工前制定质量创优策划，实行样板引路。钢筋、模板、防水、电气、给排水等11个分项工程先做样板，验收合格后再全面展开。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施工过程中，严格执行欧标、WHO相关标准和中国相关标准，对关键工序实行旁站、隐蔽验收和材料见证取样。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过程质量检查合格率达100%，未发生重大质量问题。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从混凝土外观、水池细部，到设备安装、工艺管道和电气自控，质量最终落实在每一个工程实体上。</w:t>
      </w:r>
    </w:p>
    <w:p>
      <w:pPr>
        <w:pBdr>
          <w:bottom w:val="single" w:color="AAAAAA" w:sz="4" w:space="1"/>
        </w:pBdr>
        <w:spacing w:before="120" w:after="240"/>
      </w:pP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技术创新，源于解决现场实际问题。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项目建设SCADA自动化系统，覆盖取水、净水、消毒、送水、加药和供电等主要环节。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系统采用西门子S7-1500 PLC和WinCC，通过双机热备和光纤环网实现集中监控，自动化覆盖率达95%以上。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建设过程中，进口中压软起动器停产断供。项目采用国产软起动器替代，连续运行30天无故障，获得业主和监理认可。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启动电流由直接启动时的6~8倍额定电流降至2~3倍。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水池防水采用HDPE卷材、渗透结晶、聚氨酯和JS涂料等组合方案，蓄水试验一次通过，实现零渗漏，防水材料设计寿命达30~50年。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面对大型供水管道的水锤风险，项目采用水锤消除器、缓闭止回阀、调压塔、压力缓冲罐、变频软启动和PLC联锁控制，形成综合防护体系。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工程投运以来，水锤事故零发生，维修频次降低50%，管网使用寿命预计延长20%~30%。</w:t>
      </w:r>
    </w:p>
    <w:p>
      <w:pPr>
        <w:pBdr>
          <w:bottom w:val="single" w:color="AAAAAA" w:sz="4" w:space="1"/>
        </w:pBdr>
        <w:spacing w:before="120" w:after="240"/>
      </w:pP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从运行结果来看，工程能耗较设计值降低8%~12%，水质达标率达99.5%。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这些数据，是技术交出的成绩单。</w:t>
      </w:r>
    </w:p>
    <w:p>
      <w:pPr>
        <w:pBdr>
          <w:bottom w:val="single" w:color="AAAAAA" w:sz="4" w:space="1"/>
        </w:pBdr>
        <w:spacing w:before="120" w:after="240"/>
      </w:pP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大型水厂建在刚果河边，环境保护与施工安全同样重要。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项目严格执行世界银行环境与社会框架，管控废弃物、噪声、扬尘和污水，并建设刚果河石笼护坡和200米防护堤。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进场人员三级安全教育覆盖率达100%，实现零重大安全事故、零职业病和零群体性中毒事件。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项目通过ISO 9001、ISO 14001和ISO 45001管理体系认证。</w:t>
      </w:r>
    </w:p>
    <w:p>
      <w:pPr>
        <w:pBdr>
          <w:bottom w:val="single" w:color="AAAAAA" w:sz="4" w:space="1"/>
        </w:pBdr>
        <w:spacing w:before="120" w:after="240"/>
      </w:pP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工程建设，也带来了当地就业和技能培训。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项目当地员工占比约93%，施工高峰期用工约230人。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通过“师带徒”方式，累计培训当地员工约5500人次，并持续开展社区沟通和公益活动。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这里留下的不只是工作岗位，更有专业技能和工程经验。</w:t>
      </w:r>
    </w:p>
    <w:p>
      <w:pPr>
        <w:pBdr>
          <w:bottom w:val="single" w:color="AAAAAA" w:sz="4" w:space="1"/>
        </w:pBdr>
        <w:spacing w:before="120" w:after="240"/>
      </w:pP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一座大型水厂，从图纸变成了现实。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2025年9月30日，工程完成全部施工，项目进入运营阶段，生命之水从这里进入千家万户。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镜头从空中俯瞰厂区。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从刚果河取水，到净水、消毒，再到送水和中央控制，一套完整的现代化供水系统在这里连成一个整体。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从一张张施工图纸，到每天33万立方米的总供水能力。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这座水厂改善的不只是城市供水，更关系着数百万居民的日常生活。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今天，欧佐内水厂三期工程已经完成。</w:t>
      </w:r>
    </w:p>
    <w:p>
      <w:pPr>
        <w:spacing w:after="120" w:line="360" w:lineRule="auto"/>
        <w:ind w:firstLine="480"/>
      </w:pPr>
      <w:r>
        <w:rPr>
          <w:rFonts w:hint="eastAsia" w:ascii="Times New Roman" w:hAnsi="Times New Roman" w:eastAsia="宋体"/>
          <w:sz w:val="24"/>
          <w:szCs w:val="24"/>
        </w:rPr>
        <w:t>而从这里流出的每一滴水，还将继续流向这座城市的千家万户。</w:t>
      </w:r>
    </w:p>
    <w:sectPr>
      <w:footerReference r:id="rId5" w:type="default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>PAGE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settings.xml><?xml version="1.0" encoding="utf-8"?>
<w:settings xmlns:w="http://schemas.openxmlformats.org/wordprocessingml/2006/main">
  <w:displayBackgroundShape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/>
  </w:docDefaults>
  <w:style w:type="paragraph" w:styleId="000003">
    <w:name w:val="Heading 1"/>
    <w:basedOn w:val="000002"/>
    <w:next w:val="000002"/>
    <w:qFormat w:val="1"/>
    <w:rPr>
      <w:color w:val="2E74B5"/>
      <w:sz w:val="32"/>
      <w:szCs w:val="32"/>
    </w:rPr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paragraph" w:styleId="00000a">
    <w:name w:val="List Paragraph"/>
    <w:basedOn w:val="000002"/>
    <w:qFormat w:val="1"/>
  </w:style>
  <w:style w:type="paragraph" w:styleId="000001">
    <w:name w:val="Title"/>
    <w:basedOn w:val="000002"/>
    <w:next w:val="000002"/>
    <w:qFormat w:val="1"/>
    <w:rPr>
      <w:sz w:val="56"/>
      <w:szCs w:val="56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  <w:style w:type="paragraph" w:styleId="000007">
    <w:name w:val="Heading 5"/>
    <w:basedOn w:val="000002"/>
    <w:next w:val="000002"/>
    <w:qFormat w:val="1"/>
    <w:rPr>
      <w:color w:val="2E74B5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5">
    <w:name w:val="Heading 3"/>
    <w:basedOn w:val="000002"/>
    <w:next w:val="000002"/>
    <w:qFormat w:val="1"/>
    <w:rPr>
      <w:color w:val="1F4D78"/>
      <w:sz w:val="24"/>
      <w:szCs w:val="24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paragraph" w:styleId="000004">
    <w:name w:val="Heading 2"/>
    <w:basedOn w:val="000002"/>
    <w:next w:val="000002"/>
    <w:qFormat w:val="1"/>
    <w:rPr>
      <w:color w:val="2E74B5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5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2026-08-25T09:11:48Z</dcterms:created>
  <dcterms:modified xsi:type="dcterms:W3CDTF">2026-08-25T09:11:48Z</dcterms:modified>
</cp:coreProperties>
</file>