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2021-11-03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이전까지 했던 것 복습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내부 모듈과 외부모듈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math모듈, os모듈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외부 모듈 설치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외부 모듈을 이용한 웹 페이지 연결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웹페이지 소스 받아와 출력하기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2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fhqht</cp:lastModifiedBy>
  <cp:revision>1</cp:revision>
  <dcterms:created xsi:type="dcterms:W3CDTF">2021-09-08T07:23:00Z</dcterms:created>
  <dcterms:modified xsi:type="dcterms:W3CDTF">2021-11-03T08:10:43Z</dcterms:modified>
  <cp:lastPrinted>2013-04-03T01:01:00Z</cp:lastPrinted>
  <cp:version>1100.0100.01</cp:version>
</cp:coreProperties>
</file>