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pStyle w:val="V0Kicker"/>
        <w:spacing w:before="40" w:after="20"/>
      </w:pPr>
      <w:r>
        <w:rPr>
          <w:rFonts w:ascii="Arial" w:hAnsi="Arial" w:eastAsia="Arial"/>
          <w:b/>
          <w:color w:val="062F90"/>
          <w:sz w:val="16"/>
        </w:rPr>
        <w:t>TECHNICAL EXECUTION FLOW  |  V0</w:t>
      </w:r>
    </w:p>
    <w:p>
      <w:pPr>
        <w:pStyle w:val="V0PosterTitle"/>
        <w:spacing w:after="20"/>
      </w:pPr>
      <w:r>
        <w:rPr>
          <w:rFonts w:ascii="Arial" w:hAnsi="Arial" w:eastAsia="Arial"/>
          <w:b/>
          <w:color w:val="071C41"/>
          <w:sz w:val="43"/>
        </w:rPr>
        <w:t>NeMo Curator Fuzzy Dedup Evaluation</w:t>
      </w:r>
    </w:p>
    <w:p>
      <w:pPr>
        <w:pStyle w:val="V0PosterSubtitle"/>
        <w:spacing w:after="80"/>
      </w:pPr>
      <w:r>
        <w:rPr>
          <w:rFonts w:ascii="Arial" w:hAnsi="Arial" w:eastAsia="Arial"/>
          <w:color w:val="556274"/>
          <w:sz w:val="18"/>
        </w:rPr>
        <w:t>CC-MAIN-2025-26  |  1M-document pilot  |  End-to-end evaluation workflow</w:t>
      </w:r>
    </w:p>
    <w:tbl>
      <w:tblPr>
        <w:tblW w:type="dxa" w:w="14458"/>
        <w:jc w:val="left"/>
        <w:tblLayout w:type="fixed"/>
        <w:tblLook w:firstColumn="1" w:firstRow="1" w:lastColumn="0" w:lastRow="0" w:noHBand="0" w:noVBand="1" w:val="04A0"/>
        <w:tblInd w:type="dxa" w:w="110"/>
      </w:tblPr>
      <w:tblGrid>
        <w:gridCol w:w="2962"/>
        <w:gridCol w:w="2661"/>
        <w:gridCol w:w="2962"/>
        <w:gridCol w:w="2962"/>
        <w:gridCol w:w="2911"/>
      </w:tblGrid>
      <w:tr>
        <w:trPr>
          <w:tblHeader w:val="true"/>
          <w:cantSplit w:val="true"/>
        </w:trPr>
        <w:tc>
          <w:tcPr>
            <w:tcW w:type="dxa" w:w="2962"/>
            <w:shd w:fill="EEF4FB" w:val="clear"/>
            <w:vAlign w:val="center"/>
            <w:tcMar>
              <w:top w:w="110" w:type="dxa"/>
              <w:bottom w:w="110" w:type="dxa"/>
              <w:start w:w="110" w:type="dxa"/>
              <w:end w:w="110" w:type="dxa"/>
            </w:tcMar>
            <w:tcBorders>
              <w:top w:val="single" w:sz="6" w:color="D9E8FA"/>
              <w:bottom w:val="single" w:sz="6" w:color="D9E8FA"/>
              <w:left w:val="single" w:sz="6" w:color="D9E8FA"/>
              <w:right w:val="single" w:sz="5" w:color="D9E8FA"/>
            </w:tcBorders>
          </w:tcPr>
          <w:p>
            <w:pPr>
              <w:pStyle w:val="V0Kicker"/>
              <w:spacing w:after="20"/>
              <w:ind w:left="0" w:right="0" w:firstLine="0"/>
              <w:keepLines/>
            </w:pPr>
            <w:r/>
            <w:r>
              <w:rPr>
                <w:rFonts w:ascii="Arial" w:hAnsi="Arial" w:eastAsia="Arial"/>
                <w:b/>
                <w:color w:val="062F90"/>
                <w:sz w:val="15"/>
              </w:rPr>
              <w:t>GOAL</w:t>
            </w:r>
          </w:p>
          <w:p>
            <w:pPr>
              <w:pStyle w:val="V0SmallBody"/>
              <w:spacing w:line="254" w:lineRule="auto"/>
              <w:ind w:left="0" w:right="0" w:firstLine="0"/>
              <w:keepLines/>
            </w:pPr>
            <w:r>
              <w:rPr>
                <w:rFonts w:ascii="Arial" w:hAnsi="Arial" w:eastAsia="Arial"/>
                <w:color w:val="111827"/>
                <w:sz w:val="16"/>
              </w:rPr>
              <w:t>Evaluate how safely NeMo Curator removes duplicates and what plausible duplicates it misses, using a blind model judge.</w:t>
            </w:r>
          </w:p>
        </w:tc>
        <w:tc>
          <w:tcPr>
            <w:tcW w:type="dxa" w:w="2661"/>
            <w:shd w:fill="F5F7FA" w:val="clear"/>
            <w:vAlign w:val="center"/>
            <w:tcMar>
              <w:top w:w="110" w:type="dxa"/>
              <w:bottom w:w="110" w:type="dxa"/>
              <w:start w:w="110" w:type="dxa"/>
              <w:end w:w="110" w:type="dxa"/>
            </w:tcMar>
            <w:tcBorders>
              <w:top w:val="single" w:sz="6" w:color="D9E8FA"/>
              <w:bottom w:val="single" w:sz="6" w:color="D9E8FA"/>
              <w:left w:val="single" w:sz="5" w:color="D9E8FA"/>
              <w:right w:val="single" w:sz="5" w:color="D9E8FA"/>
            </w:tcBorders>
          </w:tcPr>
          <w:p>
            <w:pPr>
              <w:pStyle w:val="V0Kicker"/>
              <w:spacing w:after="20"/>
              <w:ind w:left="0" w:right="0" w:firstLine="0"/>
              <w:keepLines/>
            </w:pPr>
            <w:r/>
            <w:r>
              <w:rPr>
                <w:rFonts w:ascii="Arial" w:hAnsi="Arial" w:eastAsia="Arial"/>
                <w:b/>
                <w:color w:val="071C41"/>
                <w:sz w:val="15"/>
              </w:rPr>
              <w:t>V0 SCOPE</w:t>
            </w:r>
          </w:p>
          <w:p>
            <w:pPr>
              <w:pStyle w:val="V0SmallBody"/>
              <w:spacing w:line="254" w:lineRule="auto"/>
              <w:ind w:left="0" w:right="0" w:firstLine="0"/>
              <w:keepLines/>
            </w:pPr>
            <w:r>
              <w:rPr>
                <w:rFonts w:ascii="Arial" w:hAnsi="Arial" w:eastAsia="Arial"/>
                <w:color w:val="111827"/>
                <w:sz w:val="16"/>
              </w:rPr>
              <w:t>Fixed 1M exact-deduplicated documents; one frozen SUT run; two sampled evaluation tracks.</w:t>
            </w:r>
          </w:p>
        </w:tc>
        <w:tc>
          <w:tcPr>
            <w:tcW w:type="dxa" w:w="2962"/>
            <w:shd w:fill="F3F8F1" w:val="clear"/>
            <w:vAlign w:val="center"/>
            <w:tcMar>
              <w:top w:w="110" w:type="dxa"/>
              <w:bottom w:w="110" w:type="dxa"/>
              <w:start w:w="110" w:type="dxa"/>
              <w:end w:w="110" w:type="dxa"/>
            </w:tcMar>
            <w:tcBorders>
              <w:top w:val="single" w:sz="6" w:color="D9E8FA"/>
              <w:bottom w:val="single" w:sz="6" w:color="D9E8FA"/>
              <w:left w:val="single" w:sz="5" w:color="D9E8FA"/>
              <w:right w:val="single" w:sz="5" w:color="D9E8FA"/>
            </w:tcBorders>
          </w:tcPr>
          <w:p>
            <w:pPr>
              <w:pStyle w:val="V0Kicker"/>
              <w:spacing w:after="20"/>
              <w:ind w:left="0" w:right="0" w:firstLine="0"/>
              <w:keepLines/>
            </w:pPr>
            <w:r/>
            <w:r>
              <w:rPr>
                <w:rFonts w:ascii="Arial" w:hAnsi="Arial" w:eastAsia="Arial"/>
                <w:b/>
                <w:color w:val="0E5825"/>
                <w:sz w:val="15"/>
              </w:rPr>
              <w:t>SYSTEM UNDER TEST</w:t>
            </w:r>
          </w:p>
          <w:p>
            <w:pPr>
              <w:pStyle w:val="V0SmallBody"/>
              <w:spacing w:line="254" w:lineRule="auto"/>
              <w:ind w:left="0" w:right="0" w:firstLine="0"/>
              <w:keepLines/>
            </w:pPr>
            <w:r>
              <w:rPr>
                <w:rFonts w:ascii="Arial" w:hAnsi="Arial" w:eastAsia="Arial"/>
                <w:color w:val="111827"/>
                <w:sz w:val="16"/>
              </w:rPr>
              <w:t>NeMo Curator FuzzyDeduplicationWorkflow. Physical removal is disabled; groups and removal decisions are retained.</w:t>
            </w:r>
          </w:p>
        </w:tc>
        <w:tc>
          <w:tcPr>
            <w:tcW w:type="dxa" w:w="2962"/>
            <w:shd w:fill="EDF7F7" w:val="clear"/>
            <w:vAlign w:val="center"/>
            <w:tcMar>
              <w:top w:w="110" w:type="dxa"/>
              <w:bottom w:w="110" w:type="dxa"/>
              <w:start w:w="110" w:type="dxa"/>
              <w:end w:w="110" w:type="dxa"/>
            </w:tcMar>
            <w:tcBorders>
              <w:top w:val="single" w:sz="6" w:color="D9E8FA"/>
              <w:bottom w:val="single" w:sz="6" w:color="D9E8FA"/>
              <w:left w:val="single" w:sz="5" w:color="D9E8FA"/>
              <w:right w:val="single" w:sz="5" w:color="D9E8FA"/>
            </w:tcBorders>
          </w:tcPr>
          <w:p>
            <w:pPr>
              <w:pStyle w:val="V0Kicker"/>
              <w:spacing w:after="20"/>
              <w:ind w:left="0" w:right="0" w:firstLine="0"/>
              <w:keepLines/>
            </w:pPr>
            <w:r/>
            <w:r>
              <w:rPr>
                <w:rFonts w:ascii="Arial" w:hAnsi="Arial" w:eastAsia="Arial"/>
                <w:b/>
                <w:color w:val="095A62"/>
                <w:sz w:val="15"/>
              </w:rPr>
              <w:t>EVALUATION PRINCIPLES</w:t>
            </w:r>
          </w:p>
          <w:p>
            <w:pPr>
              <w:pStyle w:val="V0SmallBody"/>
              <w:spacing w:line="254" w:lineRule="auto"/>
              <w:ind w:left="0" w:right="0" w:firstLine="0"/>
              <w:keepLines/>
            </w:pPr>
            <w:r>
              <w:rPr>
                <w:rFonts w:ascii="Arial" w:hAnsi="Arial" w:eastAsia="Arial"/>
                <w:color w:val="111827"/>
                <w:sz w:val="16"/>
              </w:rPr>
              <w:t>Freeze configs. Blind the judge. Judge each unique pair once. Preserve provenance. Keep the two frames separate.</w:t>
            </w:r>
          </w:p>
        </w:tc>
        <w:tc>
          <w:tcPr>
            <w:tcW w:type="dxa" w:w="2911"/>
            <w:shd w:fill="F3F0FA" w:val="clear"/>
            <w:vAlign w:val="center"/>
            <w:tcMar>
              <w:top w:w="110" w:type="dxa"/>
              <w:bottom w:w="110" w:type="dxa"/>
              <w:start w:w="110" w:type="dxa"/>
              <w:end w:w="110" w:type="dxa"/>
            </w:tcMar>
            <w:tcBorders>
              <w:top w:val="single" w:sz="6" w:color="D9E8FA"/>
              <w:bottom w:val="single" w:sz="6" w:color="D9E8FA"/>
              <w:left w:val="single" w:sz="5" w:color="D9E8FA"/>
              <w:right w:val="single" w:sz="6" w:color="D9E8FA"/>
            </w:tcBorders>
          </w:tcPr>
          <w:p>
            <w:pPr>
              <w:pStyle w:val="V0Kicker"/>
              <w:spacing w:after="20"/>
              <w:ind w:left="0" w:right="0" w:firstLine="0"/>
              <w:keepLines/>
            </w:pPr>
            <w:r/>
            <w:r>
              <w:rPr>
                <w:rFonts w:ascii="Arial" w:hAnsi="Arial" w:eastAsia="Arial"/>
                <w:b/>
                <w:color w:val="331B78"/>
                <w:sz w:val="15"/>
              </w:rPr>
              <w:t>V0 SUCCESS</w:t>
            </w:r>
          </w:p>
          <w:p>
            <w:pPr>
              <w:pStyle w:val="V0SmallBody"/>
              <w:spacing w:line="254" w:lineRule="auto"/>
              <w:ind w:left="0" w:right="0" w:firstLine="0"/>
              <w:keepLines/>
            </w:pPr>
            <w:r>
              <w:rPr>
                <w:rFonts w:ascii="Arial" w:hAnsi="Arial" w:eastAsia="Arial"/>
                <w:color w:val="111827"/>
                <w:sz w:val="16"/>
              </w:rPr>
              <w:t>The full run is reproducible and auditable, every pair is traceable, and all claims respect sampling limits.</w:t>
            </w:r>
          </w:p>
        </w:tc>
      </w:tr>
    </w:tbl>
    <w:p>
      <w:pPr>
        <w:pStyle w:val="V0Section"/>
        <w:spacing w:before="80" w:after="40" w:line="240" w:lineRule="auto"/>
        <w:ind w:left="115" w:right="29"/>
        <w:shd w:fill="062F90" w:val="clear"/>
      </w:pPr>
      <w:r>
        <w:rPr>
          <w:rFonts w:ascii="Arial" w:hAnsi="Arial" w:eastAsia="Arial"/>
          <w:b/>
          <w:color w:val="FFFFFF"/>
          <w:sz w:val="21"/>
        </w:rPr>
        <w:t>PHASE 1  |  EVALUATION DATASET &amp; SUT PREPARATION</w:t>
      </w:r>
      <w:r>
        <w:rPr>
          <w:rFonts w:ascii="Arial" w:hAnsi="Arial" w:eastAsia="Arial"/>
          <w:b w:val="0"/>
          <w:color w:val="FFFFFF"/>
          <w:sz w:val="17"/>
        </w:rPr>
        <w:t xml:space="preserve">    Steps 1-2</w:t>
      </w:r>
    </w:p>
    <w:tbl>
      <w:tblPr>
        <w:tblW w:type="dxa" w:w="14458"/>
        <w:jc w:val="left"/>
        <w:tblLayout w:type="fixed"/>
        <w:tblLook w:firstColumn="1" w:firstRow="1" w:lastColumn="0" w:lastRow="0" w:noHBand="0" w:noVBand="1" w:val="04A0"/>
        <w:tblInd w:type="dxa" w:w="105"/>
      </w:tblPr>
      <w:tblGrid>
        <w:gridCol w:w="3398"/>
        <w:gridCol w:w="11060"/>
      </w:tblGrid>
      <w:tr>
        <w:trPr>
          <w:cantSplit w:val="true"/>
          <w:tblHeader w:val="true"/>
        </w:trPr>
        <w:tc>
          <w:tcPr>
            <w:tcW w:type="dxa" w:w="3398"/>
            <w:shd w:fill="062F90" w:val="clear"/>
            <w:vAlign w:val="center"/>
            <w:tcMar>
              <w:top w:w="90" w:type="dxa"/>
              <w:bottom w:w="90" w:type="dxa"/>
              <w:start w:w="105" w:type="dxa"/>
              <w:end w:w="105" w:type="dxa"/>
            </w:tcMar>
            <w:tcBorders>
              <w:top w:val="single" w:sz="6" w:color="071C41"/>
              <w:bottom w:val="single" w:sz="5" w:color="D9E8FA"/>
              <w:left w:val="single" w:sz="6" w:color="071C41"/>
              <w:right w:val="single" w:sz="5" w:color="D9E8FA"/>
            </w:tcBorders>
          </w:tcPr>
          <w:p>
            <w:pPr>
              <w:pStyle w:val="V0TableHeader"/>
              <w:spacing w:after="0"/>
              <w:ind w:left="0" w:right="0" w:firstLine="0"/>
              <w:jc w:val="center"/>
              <w:keepLines/>
            </w:pPr>
            <w:r/>
            <w:r>
              <w:rPr>
                <w:rFonts w:ascii="Arial" w:hAnsi="Arial" w:eastAsia="Arial"/>
                <w:b/>
                <w:color w:val="FFFFFF"/>
                <w:sz w:val="32"/>
              </w:rPr>
              <w:t>1</w:t>
            </w:r>
          </w:p>
          <w:p>
            <w:pPr>
              <w:pStyle w:val="V0TableHeader"/>
              <w:spacing w:before="0" w:after="0"/>
              <w:ind w:left="0" w:right="0" w:firstLine="0"/>
              <w:jc w:val="center"/>
              <w:keepLines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PREPARE THE 1M EVALUATION DATASET</w:t>
            </w:r>
          </w:p>
        </w:tc>
        <w:tc>
          <w:tcPr>
            <w:tcW w:type="dxa" w:w="11060"/>
            <w:shd w:fill="EEF4FB" w:val="clear"/>
            <w:vAlign w:val="center"/>
            <w:tcMar>
              <w:top w:w="90" w:type="dxa"/>
              <w:bottom w:w="90" w:type="dxa"/>
              <w:start w:w="105" w:type="dxa"/>
              <w:end w:w="105" w:type="dxa"/>
            </w:tcMar>
            <w:tcBorders>
              <w:top w:val="single" w:sz="6" w:color="071C41"/>
              <w:bottom w:val="single" w:sz="5" w:color="D9E8FA"/>
              <w:left w:val="single" w:sz="5" w:color="D9E8FA"/>
              <w:right w:val="single" w:sz="6" w:color="071C41"/>
            </w:tcBorders>
          </w:tcPr>
          <w:p>
            <w:pPr>
              <w:pStyle w:val="V0SmallBody"/>
              <w:spacing w:before="0" w:after="60" w:line="259" w:lineRule="auto"/>
              <w:ind w:left="259" w:hanging="144" w:right="29"/>
              <w:numPr>
                <w:ilvl w:val="0"/>
                <w:numId w:val="1"/>
              </w:numPr>
            </w:pPr>
            <w:r/>
            <w:r>
              <w:rPr>
                <w:rFonts w:ascii="Arial" w:hAnsi="Arial" w:eastAsia="Arial"/>
                <w:color w:val="111827"/>
                <w:sz w:val="18"/>
              </w:rPr>
              <w:t>Freeze a deterministic 1M-document sample from CC-MAIN-2025-26.</w:t>
            </w:r>
          </w:p>
          <w:p>
            <w:pPr>
              <w:pStyle w:val="V0SmallBody"/>
              <w:spacing w:before="0" w:after="60" w:line="259" w:lineRule="auto"/>
              <w:ind w:left="259" w:hanging="144" w:right="29"/>
              <w:numPr>
                <w:ilvl w:val="0"/>
                <w:numId w:val="1"/>
              </w:numPr>
            </w:pPr>
            <w:r>
              <w:rPr>
                <w:rFonts w:ascii="Arial" w:hAnsi="Arial" w:eastAsia="Arial"/>
                <w:color w:val="111827"/>
                <w:sz w:val="18"/>
              </w:rPr>
              <w:t>Exact deduplication is already complete; V0 does not rerun it.</w:t>
            </w:r>
          </w:p>
          <w:p>
            <w:pPr>
              <w:pStyle w:val="V0SmallBody"/>
              <w:spacing w:before="0" w:after="60" w:line="259" w:lineRule="auto"/>
              <w:ind w:left="259" w:hanging="144" w:right="29"/>
              <w:numPr>
                <w:ilvl w:val="0"/>
                <w:numId w:val="1"/>
              </w:numPr>
            </w:pPr>
            <w:r>
              <w:rPr>
                <w:rFonts w:ascii="Arial" w:hAnsi="Arial" w:eastAsia="Arial"/>
                <w:color w:val="111827"/>
                <w:sz w:val="18"/>
              </w:rPr>
              <w:t>Provide stable doc_id, cleaned text, metadata, embeddings, checksums, and a corpus manifest.</w:t>
            </w:r>
          </w:p>
        </w:tc>
      </w:tr>
      <w:tr>
        <w:trPr>
          <w:cantSplit w:val="true"/>
        </w:trPr>
        <w:tc>
          <w:tcPr>
            <w:tcW w:type="dxa" w:w="3398"/>
            <w:shd w:fill="0E5825" w:val="clear"/>
            <w:vAlign w:val="center"/>
            <w:tcMar>
              <w:top w:w="90" w:type="dxa"/>
              <w:bottom w:w="90" w:type="dxa"/>
              <w:start w:w="105" w:type="dxa"/>
              <w:end w:w="105" w:type="dxa"/>
            </w:tcMar>
            <w:tcBorders>
              <w:top w:val="single" w:sz="5" w:color="D9E8FA"/>
              <w:bottom w:val="single" w:sz="6" w:color="071C41"/>
              <w:left w:val="single" w:sz="6" w:color="071C41"/>
              <w:right w:val="single" w:sz="5" w:color="D9E8FA"/>
            </w:tcBorders>
          </w:tcPr>
          <w:p>
            <w:pPr>
              <w:pStyle w:val="V0TableHeader"/>
              <w:spacing w:after="0"/>
              <w:ind w:left="0" w:right="0" w:firstLine="0"/>
              <w:jc w:val="center"/>
              <w:keepLines/>
            </w:pPr>
            <w:r/>
            <w:r>
              <w:rPr>
                <w:rFonts w:ascii="Arial" w:hAnsi="Arial" w:eastAsia="Arial"/>
                <w:b/>
                <w:color w:val="FFFFFF"/>
                <w:sz w:val="32"/>
              </w:rPr>
              <w:t>2</w:t>
            </w:r>
          </w:p>
          <w:p>
            <w:pPr>
              <w:pStyle w:val="V0TableHeader"/>
              <w:spacing w:before="0" w:after="0"/>
              <w:ind w:left="0" w:right="0" w:firstLine="0"/>
              <w:jc w:val="center"/>
              <w:keepLines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RUN THE FROZEN FUZZY-DEDUP SUT</w:t>
            </w:r>
          </w:p>
        </w:tc>
        <w:tc>
          <w:tcPr>
            <w:tcW w:type="dxa" w:w="11060"/>
            <w:shd w:fill="F3F8F1" w:val="clear"/>
            <w:vAlign w:val="center"/>
            <w:tcMar>
              <w:top w:w="90" w:type="dxa"/>
              <w:bottom w:w="90" w:type="dxa"/>
              <w:start w:w="105" w:type="dxa"/>
              <w:end w:w="105" w:type="dxa"/>
            </w:tcMar>
            <w:tcBorders>
              <w:top w:val="single" w:sz="5" w:color="D9E8FA"/>
              <w:bottom w:val="single" w:sz="6" w:color="071C41"/>
              <w:left w:val="single" w:sz="5" w:color="D9E8FA"/>
              <w:right w:val="single" w:sz="6" w:color="071C41"/>
            </w:tcBorders>
          </w:tcPr>
          <w:p>
            <w:pPr>
              <w:pStyle w:val="V0SmallBody"/>
              <w:spacing w:before="0" w:after="60" w:line="259" w:lineRule="auto"/>
              <w:ind w:left="259" w:hanging="144" w:right="29"/>
              <w:numPr>
                <w:ilvl w:val="0"/>
                <w:numId w:val="1"/>
              </w:numPr>
            </w:pPr>
            <w:r/>
            <w:r>
              <w:rPr>
                <w:rFonts w:ascii="Arial" w:hAnsi="Arial" w:eastAsia="Arial"/>
                <w:color w:val="111827"/>
                <w:sz w:val="18"/>
              </w:rPr>
              <w:t>Freeze one NeMo Curator configuration, code/container version, seed, and run_id.</w:t>
            </w:r>
          </w:p>
          <w:p>
            <w:pPr>
              <w:pStyle w:val="V0SmallBody"/>
              <w:spacing w:before="0" w:after="60" w:line="259" w:lineRule="auto"/>
              <w:ind w:left="259" w:hanging="144" w:right="29"/>
              <w:numPr>
                <w:ilvl w:val="0"/>
                <w:numId w:val="1"/>
              </w:numPr>
            </w:pPr>
            <w:r>
              <w:rPr>
                <w:rFonts w:ascii="Arial" w:hAnsi="Arial" w:eastAsia="Arial"/>
                <w:color w:val="111827"/>
                <w:sz w:val="18"/>
              </w:rPr>
              <w:t>Run fuzzy dedup with physical removal disabled so all documents remain available for evaluation.</w:t>
            </w:r>
          </w:p>
          <w:p>
            <w:pPr>
              <w:pStyle w:val="V0SmallBody"/>
              <w:spacing w:before="0" w:after="60" w:line="259" w:lineRule="auto"/>
              <w:ind w:left="259" w:hanging="144" w:right="29"/>
              <w:numPr>
                <w:ilvl w:val="0"/>
                <w:numId w:val="1"/>
              </w:numPr>
            </w:pPr>
            <w:r>
              <w:rPr>
                <w:rFonts w:ascii="Arial" w:hAnsi="Arial" w:eastAsia="Arial"/>
                <w:color w:val="111827"/>
                <w:sz w:val="18"/>
              </w:rPr>
              <w:t>Retain predicted groups, removal IDs, candidate-edge/cache artifacts, ID mappings, and execution logs.</w:t>
            </w:r>
          </w:p>
        </w:tc>
      </w:tr>
    </w:tbl>
    <w:p>
      <w:pPr>
        <w:pStyle w:val="V0Callout"/>
        <w:spacing w:before="40" w:after="40"/>
        <w:ind w:left="173" w:right="115"/>
        <w:jc w:val="center"/>
        <w:shd w:fill="F3F8F1" w:val="clear"/>
      </w:pPr>
      <w:r>
        <w:rPr>
          <w:rFonts w:ascii="Arial" w:hAnsi="Arial" w:eastAsia="Arial"/>
          <w:b/>
          <w:color w:val="0E5825"/>
          <w:sz w:val="16"/>
        </w:rPr>
        <w:t xml:space="preserve">SUT PIPELINE  </w:t>
      </w:r>
      <w:r>
        <w:rPr>
          <w:rFonts w:ascii="Arial" w:hAnsi="Arial" w:eastAsia="Arial"/>
          <w:b/>
          <w:color w:val="071C41"/>
          <w:sz w:val="16"/>
        </w:rPr>
        <w:t>File Partitioning  -&gt;  MinHash  -&gt;  LSH  -&gt;  Buckets to Edges  -&gt;  Connected Components  -&gt;  Keeper / Removal Decisions</w:t>
      </w:r>
    </w:p>
    <w:p>
      <w:pPr>
        <w:pStyle w:val="V0Section"/>
        <w:spacing w:before="80" w:after="40" w:line="240" w:lineRule="auto"/>
        <w:ind w:left="115" w:right="29"/>
        <w:shd w:fill="0E5825" w:val="clear"/>
      </w:pPr>
      <w:r>
        <w:rPr>
          <w:rFonts w:ascii="Arial" w:hAnsi="Arial" w:eastAsia="Arial"/>
          <w:b/>
          <w:color w:val="FFFFFF"/>
          <w:sz w:val="21"/>
        </w:rPr>
        <w:t>PHASE 2  |  EVALUATION PAIR &amp; REFERENCE CONSTRUCTION</w:t>
      </w:r>
      <w:r>
        <w:rPr>
          <w:rFonts w:ascii="Arial" w:hAnsi="Arial" w:eastAsia="Arial"/>
          <w:b w:val="0"/>
          <w:color w:val="FFFFFF"/>
          <w:sz w:val="17"/>
        </w:rPr>
        <w:t xml:space="preserve">    Steps 3-7</w:t>
      </w:r>
    </w:p>
    <w:tbl>
      <w:tblPr>
        <w:tblW w:type="dxa" w:w="14458"/>
        <w:jc w:val="left"/>
        <w:tblLayout w:type="fixed"/>
        <w:tblLook w:firstColumn="1" w:firstRow="1" w:lastColumn="0" w:lastRow="0" w:noHBand="0" w:noVBand="1" w:val="04A0"/>
        <w:tblInd w:type="dxa" w:w="105"/>
      </w:tblPr>
      <w:tblGrid>
        <w:gridCol w:w="3398"/>
        <w:gridCol w:w="11060"/>
      </w:tblGrid>
      <w:tr>
        <w:trPr>
          <w:cantSplit w:val="true"/>
          <w:tblHeader w:val="true"/>
        </w:trPr>
        <w:tc>
          <w:tcPr>
            <w:tcW w:type="dxa" w:w="3398"/>
            <w:shd w:fill="CD580A" w:val="clear"/>
            <w:vAlign w:val="center"/>
            <w:tcMar>
              <w:top w:w="90" w:type="dxa"/>
              <w:bottom w:w="90" w:type="dxa"/>
              <w:start w:w="105" w:type="dxa"/>
              <w:end w:w="105" w:type="dxa"/>
            </w:tcMar>
            <w:tcBorders>
              <w:top w:val="single" w:sz="6" w:color="071C41"/>
              <w:bottom w:val="single" w:sz="5" w:color="D9E8FA"/>
              <w:left w:val="single" w:sz="6" w:color="071C41"/>
              <w:right w:val="single" w:sz="5" w:color="D9E8FA"/>
            </w:tcBorders>
          </w:tcPr>
          <w:p>
            <w:pPr>
              <w:pStyle w:val="V0TableHeader"/>
              <w:spacing w:after="0"/>
              <w:ind w:left="0" w:right="0" w:firstLine="0"/>
              <w:jc w:val="center"/>
              <w:keepLines/>
            </w:pPr>
            <w:r/>
            <w:r>
              <w:rPr>
                <w:rFonts w:ascii="Arial" w:hAnsi="Arial" w:eastAsia="Arial"/>
                <w:b/>
                <w:color w:val="FFFFFF"/>
                <w:sz w:val="32"/>
              </w:rPr>
              <w:t>3</w:t>
            </w:r>
          </w:p>
          <w:p>
            <w:pPr>
              <w:pStyle w:val="V0TableHeader"/>
              <w:spacing w:before="0" w:after="0"/>
              <w:ind w:left="0" w:right="0" w:firstLine="0"/>
              <w:jc w:val="center"/>
              <w:keepLines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RECOVER PREDICTED OUTCOMES</w:t>
            </w:r>
          </w:p>
        </w:tc>
        <w:tc>
          <w:tcPr>
            <w:tcW w:type="dxa" w:w="11060"/>
            <w:shd w:fill="FFF1E2" w:val="clear"/>
            <w:vAlign w:val="center"/>
            <w:tcMar>
              <w:top w:w="90" w:type="dxa"/>
              <w:bottom w:w="90" w:type="dxa"/>
              <w:start w:w="105" w:type="dxa"/>
              <w:end w:w="105" w:type="dxa"/>
            </w:tcMar>
            <w:tcBorders>
              <w:top w:val="single" w:sz="6" w:color="071C41"/>
              <w:bottom w:val="single" w:sz="5" w:color="D9E8FA"/>
              <w:left w:val="single" w:sz="5" w:color="D9E8FA"/>
              <w:right w:val="single" w:sz="6" w:color="071C41"/>
            </w:tcBorders>
          </w:tcPr>
          <w:p>
            <w:pPr>
              <w:pStyle w:val="V0SmallBody"/>
              <w:spacing w:before="0" w:after="60" w:line="259" w:lineRule="auto"/>
              <w:ind w:left="259" w:hanging="144" w:right="29"/>
              <w:numPr>
                <w:ilvl w:val="0"/>
                <w:numId w:val="1"/>
              </w:numPr>
            </w:pPr>
            <w:r/>
            <w:r>
              <w:rPr>
                <w:rFonts w:ascii="Arial" w:hAnsi="Arial" w:eastAsia="Arial"/>
                <w:color w:val="111827"/>
                <w:sz w:val="17"/>
              </w:rPr>
              <w:t>Join all 1M documents to the connected-components result.</w:t>
            </w:r>
          </w:p>
          <w:p>
            <w:pPr>
              <w:pStyle w:val="V0SmallBody"/>
              <w:spacing w:before="0" w:after="60" w:line="259" w:lineRule="auto"/>
              <w:ind w:left="259" w:hanging="144" w:right="29"/>
              <w:numPr>
                <w:ilvl w:val="0"/>
                <w:numId w:val="1"/>
              </w:numPr>
            </w:pPr>
            <w:r>
              <w:rPr>
                <w:rFonts w:ascii="Arial" w:hAnsi="Arial" w:eastAsia="Arial"/>
                <w:color w:val="111827"/>
                <w:sz w:val="17"/>
              </w:rPr>
              <w:t>Treat every raw -1 document as its own singleton.</w:t>
            </w:r>
          </w:p>
          <w:p>
            <w:pPr>
              <w:pStyle w:val="V0SmallBody"/>
              <w:spacing w:before="0" w:after="60" w:line="259" w:lineRule="auto"/>
              <w:ind w:left="259" w:hanging="144" w:right="29"/>
              <w:numPr>
                <w:ilvl w:val="0"/>
                <w:numId w:val="1"/>
              </w:numPr>
            </w:pPr>
            <w:r>
              <w:rPr>
                <w:rFonts w:ascii="Arial" w:hAnsi="Arial" w:eastAsia="Arial"/>
                <w:color w:val="111827"/>
                <w:sz w:val="17"/>
              </w:rPr>
              <w:t>Recover predicted group, KEEP/REMOVE action, and final keeper for each document.</w:t>
            </w:r>
          </w:p>
        </w:tc>
      </w:tr>
      <w:tr>
        <w:trPr>
          <w:cantSplit w:val="true"/>
        </w:trPr>
        <w:tc>
          <w:tcPr>
            <w:tcW w:type="dxa" w:w="3398"/>
            <w:shd w:fill="331B78" w:val="clear"/>
            <w:vAlign w:val="center"/>
            <w:tcMar>
              <w:top w:w="90" w:type="dxa"/>
              <w:bottom w:w="90" w:type="dxa"/>
              <w:start w:w="105" w:type="dxa"/>
              <w:end w:w="105" w:type="dxa"/>
            </w:tcMar>
            <w:tcBorders>
              <w:top w:val="single" w:sz="5" w:color="D9E8FA"/>
              <w:bottom w:val="single" w:sz="5" w:color="D9E8FA"/>
              <w:left w:val="single" w:sz="6" w:color="071C41"/>
              <w:right w:val="single" w:sz="5" w:color="D9E8FA"/>
            </w:tcBorders>
          </w:tcPr>
          <w:p>
            <w:pPr>
              <w:pStyle w:val="V0TableHeader"/>
              <w:spacing w:after="0"/>
              <w:ind w:left="0" w:right="0" w:firstLine="0"/>
              <w:jc w:val="center"/>
              <w:keepLines/>
            </w:pPr>
            <w:r/>
            <w:r>
              <w:rPr>
                <w:rFonts w:ascii="Arial" w:hAnsi="Arial" w:eastAsia="Arial"/>
                <w:b/>
                <w:color w:val="FFFFFF"/>
                <w:sz w:val="32"/>
              </w:rPr>
              <w:t>4</w:t>
            </w:r>
          </w:p>
          <w:p>
            <w:pPr>
              <w:pStyle w:val="V0TableHeader"/>
              <w:spacing w:before="0" w:after="0"/>
              <w:ind w:left="0" w:right="0" w:firstLine="0"/>
              <w:jc w:val="center"/>
              <w:keepLines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SAMPLE 1,000 ANCHORS</w:t>
            </w:r>
          </w:p>
        </w:tc>
        <w:tc>
          <w:tcPr>
            <w:tcW w:type="dxa" w:w="11060"/>
            <w:shd w:fill="F3F0FA" w:val="clear"/>
            <w:vAlign w:val="center"/>
            <w:tcMar>
              <w:top w:w="90" w:type="dxa"/>
              <w:bottom w:w="90" w:type="dxa"/>
              <w:start w:w="105" w:type="dxa"/>
              <w:end w:w="105" w:type="dxa"/>
            </w:tcMar>
            <w:tcBorders>
              <w:top w:val="single" w:sz="5" w:color="D9E8FA"/>
              <w:bottom w:val="single" w:sz="5" w:color="D9E8FA"/>
              <w:left w:val="single" w:sz="5" w:color="D9E8FA"/>
              <w:right w:val="single" w:sz="6" w:color="071C41"/>
            </w:tcBorders>
          </w:tcPr>
          <w:p>
            <w:pPr>
              <w:pStyle w:val="V0SmallBody"/>
              <w:spacing w:before="0" w:after="60" w:line="259" w:lineRule="auto"/>
              <w:ind w:left="259" w:hanging="144" w:right="29"/>
              <w:numPr>
                <w:ilvl w:val="0"/>
                <w:numId w:val="1"/>
              </w:numPr>
            </w:pPr>
            <w:r/>
            <w:r>
              <w:rPr>
                <w:rFonts w:ascii="Arial" w:hAnsi="Arial" w:eastAsia="Arial"/>
                <w:color w:val="111827"/>
                <w:sz w:val="17"/>
              </w:rPr>
              <w:t>Select 500 predicted singletons.</w:t>
            </w:r>
          </w:p>
          <w:p>
            <w:pPr>
              <w:pStyle w:val="V0SmallBody"/>
              <w:spacing w:before="0" w:after="60" w:line="259" w:lineRule="auto"/>
              <w:ind w:left="259" w:hanging="144" w:right="29"/>
              <w:numPr>
                <w:ilvl w:val="0"/>
                <w:numId w:val="1"/>
              </w:numPr>
            </w:pPr>
            <w:r>
              <w:rPr>
                <w:rFonts w:ascii="Arial" w:hAnsi="Arial" w:eastAsia="Arial"/>
                <w:color w:val="111827"/>
                <w:sz w:val="17"/>
              </w:rPr>
              <w:t>Cover four grouped-size buckets with 125 anchors each.</w:t>
            </w:r>
          </w:p>
          <w:p>
            <w:pPr>
              <w:pStyle w:val="V0SmallBody"/>
              <w:spacing w:before="0" w:after="60" w:line="259" w:lineRule="auto"/>
              <w:ind w:left="259" w:hanging="144" w:right="29"/>
              <w:numPr>
                <w:ilvl w:val="0"/>
                <w:numId w:val="1"/>
              </w:numPr>
            </w:pPr>
            <w:r>
              <w:rPr>
                <w:rFonts w:ascii="Arial" w:hAnsi="Arial" w:eastAsia="Arial"/>
                <w:color w:val="111827"/>
                <w:sz w:val="17"/>
              </w:rPr>
              <w:t>Sample groups first, then one member per group, so large components do not dominate.</w:t>
            </w:r>
          </w:p>
        </w:tc>
      </w:tr>
      <w:tr>
        <w:trPr>
          <w:cantSplit w:val="true"/>
        </w:trPr>
        <w:tc>
          <w:tcPr>
            <w:tcW w:type="dxa" w:w="3398"/>
            <w:shd w:fill="062F90" w:val="clear"/>
            <w:vAlign w:val="center"/>
            <w:tcMar>
              <w:top w:w="90" w:type="dxa"/>
              <w:bottom w:w="90" w:type="dxa"/>
              <w:start w:w="105" w:type="dxa"/>
              <w:end w:w="105" w:type="dxa"/>
            </w:tcMar>
            <w:tcBorders>
              <w:top w:val="single" w:sz="5" w:color="D9E8FA"/>
              <w:bottom w:val="single" w:sz="6" w:color="071C41"/>
              <w:left w:val="single" w:sz="6" w:color="071C41"/>
              <w:right w:val="single" w:sz="5" w:color="D9E8FA"/>
            </w:tcBorders>
          </w:tcPr>
          <w:p>
            <w:pPr>
              <w:pStyle w:val="V0TableHeader"/>
              <w:spacing w:after="0"/>
              <w:ind w:left="0" w:right="0" w:firstLine="0"/>
              <w:jc w:val="center"/>
              <w:keepLines/>
            </w:pPr>
            <w:r/>
            <w:r>
              <w:rPr>
                <w:rFonts w:ascii="Arial" w:hAnsi="Arial" w:eastAsia="Arial"/>
                <w:b/>
                <w:color w:val="FFFFFF"/>
                <w:sz w:val="32"/>
              </w:rPr>
              <w:t>5</w:t>
            </w:r>
          </w:p>
          <w:p>
            <w:pPr>
              <w:pStyle w:val="V0TableHeader"/>
              <w:spacing w:before="0" w:after="0"/>
              <w:ind w:left="0" w:right="0" w:firstLine="0"/>
              <w:jc w:val="center"/>
              <w:keepLines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CONSTRUCT EVALUATION PAIRS</w:t>
            </w:r>
          </w:p>
        </w:tc>
        <w:tc>
          <w:tcPr>
            <w:tcW w:type="dxa" w:w="11060"/>
            <w:shd w:fill="EEF4FB" w:val="clear"/>
            <w:vAlign w:val="center"/>
            <w:tcMar>
              <w:top w:w="90" w:type="dxa"/>
              <w:bottom w:w="90" w:type="dxa"/>
              <w:start w:w="105" w:type="dxa"/>
              <w:end w:w="105" w:type="dxa"/>
            </w:tcMar>
            <w:tcBorders>
              <w:top w:val="single" w:sz="5" w:color="D9E8FA"/>
              <w:bottom w:val="single" w:sz="6" w:color="071C41"/>
              <w:left w:val="single" w:sz="5" w:color="D9E8FA"/>
              <w:right w:val="single" w:sz="6" w:color="071C41"/>
            </w:tcBorders>
          </w:tcPr>
          <w:p>
            <w:pPr>
              <w:pStyle w:val="V0SmallBody"/>
              <w:spacing w:before="0" w:after="60" w:line="259" w:lineRule="auto"/>
              <w:ind w:left="259" w:hanging="144" w:right="29"/>
              <w:numPr>
                <w:ilvl w:val="0"/>
                <w:numId w:val="1"/>
              </w:numPr>
            </w:pPr>
            <w:r/>
            <w:r>
              <w:rPr>
                <w:rFonts w:ascii="Arial" w:hAnsi="Arial" w:eastAsia="Arial"/>
                <w:color w:val="111827"/>
                <w:sz w:val="17"/>
              </w:rPr>
              <w:t>5a: sample 10K actual keeper -&gt; removed decisions for removal safety.</w:t>
            </w:r>
          </w:p>
          <w:p>
            <w:pPr>
              <w:pStyle w:val="V0SmallBody"/>
              <w:spacing w:before="0" w:after="60" w:line="259" w:lineRule="auto"/>
              <w:ind w:left="259" w:hanging="144" w:right="29"/>
              <w:numPr>
                <w:ilvl w:val="0"/>
                <w:numId w:val="1"/>
              </w:numPr>
            </w:pPr>
            <w:r>
              <w:rPr>
                <w:rFonts w:ascii="Arial" w:hAnsi="Arial" w:eastAsia="Arial"/>
                <w:color w:val="111827"/>
                <w:sz w:val="17"/>
              </w:rPr>
              <w:t>5b: retrieve cross-group candidates through two complementary channels.</w:t>
            </w:r>
          </w:p>
          <w:p>
            <w:pPr>
              <w:pStyle w:val="V0SmallBody"/>
              <w:spacing w:before="0" w:after="30" w:line="250" w:lineRule="auto"/>
              <w:ind w:left="605" w:hanging="144" w:right="29"/>
              <w:numPr>
                <w:ilvl w:val="1"/>
                <w:numId w:val="1"/>
              </w:numPr>
            </w:pPr>
            <w:r>
              <w:rPr>
                <w:rFonts w:ascii="Arial" w:hAnsi="Arial" w:eastAsia="Arial"/>
                <w:b/>
                <w:color w:val="071C41"/>
                <w:sz w:val="17"/>
              </w:rPr>
              <w:t>Relaxed lexical retrieval</w:t>
            </w:r>
            <w:r>
              <w:rPr>
                <w:rFonts w:ascii="Arial" w:hAnsi="Arial" w:eastAsia="Arial"/>
                <w:color w:val="111827"/>
                <w:sz w:val="17"/>
              </w:rPr>
              <w:t xml:space="preserve"> - MinHash / LSH candidates</w:t>
            </w:r>
          </w:p>
          <w:p>
            <w:pPr>
              <w:pStyle w:val="V0SmallBody"/>
              <w:spacing w:before="0" w:after="30" w:line="250" w:lineRule="auto"/>
              <w:ind w:left="605" w:hanging="144" w:right="29"/>
              <w:numPr>
                <w:ilvl w:val="1"/>
                <w:numId w:val="1"/>
              </w:numPr>
            </w:pPr>
            <w:r>
              <w:rPr>
                <w:rFonts w:ascii="Arial" w:hAnsi="Arial" w:eastAsia="Arial"/>
                <w:b/>
                <w:color w:val="071C41"/>
                <w:sz w:val="17"/>
              </w:rPr>
              <w:t>Semantic embedding retrieval</w:t>
            </w:r>
            <w:r>
              <w:rPr>
                <w:rFonts w:ascii="Arial" w:hAnsi="Arial" w:eastAsia="Arial"/>
                <w:color w:val="111827"/>
                <w:sz w:val="17"/>
              </w:rPr>
              <w:t xml:space="preserve"> - vector-similarity candidates</w:t>
            </w:r>
          </w:p>
          <w:p>
            <w:pPr>
              <w:pStyle w:val="V0SmallBody"/>
              <w:spacing w:before="0" w:after="60" w:line="259" w:lineRule="auto"/>
              <w:ind w:left="259" w:hanging="144" w:right="29"/>
              <w:numPr>
                <w:ilvl w:val="0"/>
                <w:numId w:val="1"/>
              </w:numPr>
            </w:pPr>
            <w:r>
              <w:rPr>
                <w:rFonts w:ascii="Arial" w:hAnsi="Arial" w:eastAsia="Arial"/>
                <w:color w:val="111827"/>
                <w:sz w:val="17"/>
              </w:rPr>
              <w:t>Canonicalize each unique pair once and preserve source, score, rank, and track membership.</w:t>
            </w:r>
          </w:p>
        </w:tc>
      </w:tr>
    </w:tbl>
    <w:tbl>
      <w:tblPr>
        <w:tblW w:type="dxa" w:w="14458"/>
        <w:jc w:val="left"/>
        <w:tblLayout w:type="fixed"/>
        <w:tblLook w:firstColumn="1" w:firstRow="1" w:lastColumn="0" w:lastRow="0" w:noHBand="0" w:noVBand="1" w:val="04A0"/>
        <w:tblInd w:type="dxa" w:w="105"/>
      </w:tblPr>
      <w:tblGrid>
        <w:gridCol w:w="7229"/>
        <w:gridCol w:w="7229"/>
      </w:tblGrid>
      <w:tr>
        <w:trPr>
          <w:tblHeader w:val="true"/>
          <w:cantSplit w:val="true"/>
        </w:trPr>
        <w:tc>
          <w:tcPr>
            <w:tcW w:type="dxa" w:w="7229"/>
            <w:shd w:fill="CD580A" w:val="clear"/>
            <w:vAlign w:val="center"/>
            <w:tcMar>
              <w:top w:w="60" w:type="dxa"/>
              <w:bottom w:w="60" w:type="dxa"/>
              <w:start w:w="105" w:type="dxa"/>
              <w:end w:w="105" w:type="dxa"/>
            </w:tcMar>
            <w:tcBorders>
              <w:top w:val="single" w:sz="6" w:color="071C41"/>
              <w:bottom w:val="single" w:sz="5" w:color="D9E8FA"/>
              <w:left w:val="single" w:sz="6" w:color="071C41"/>
              <w:right w:val="single" w:sz="5" w:color="D9E8FA"/>
            </w:tcBorders>
          </w:tcPr>
          <w:p>
            <w:pPr>
              <w:pStyle w:val="V0TableHeader"/>
              <w:ind w:left="0" w:right="0" w:firstLine="0"/>
              <w:jc w:val="center"/>
              <w:keepLines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TRACK 5A  |  REMOVAL SAFETY</w:t>
            </w:r>
          </w:p>
        </w:tc>
        <w:tc>
          <w:tcPr>
            <w:tcW w:type="dxa" w:w="7229"/>
            <w:shd w:fill="095A62" w:val="clear"/>
            <w:vAlign w:val="center"/>
            <w:tcMar>
              <w:top w:w="60" w:type="dxa"/>
              <w:bottom w:w="60" w:type="dxa"/>
              <w:start w:w="105" w:type="dxa"/>
              <w:end w:w="105" w:type="dxa"/>
            </w:tcMar>
            <w:tcBorders>
              <w:top w:val="single" w:sz="6" w:color="071C41"/>
              <w:bottom w:val="single" w:sz="5" w:color="D9E8FA"/>
              <w:left w:val="single" w:sz="5" w:color="D9E8FA"/>
              <w:right w:val="single" w:sz="6" w:color="071C41"/>
            </w:tcBorders>
          </w:tcPr>
          <w:p>
            <w:pPr>
              <w:pStyle w:val="V0TableHeader"/>
              <w:ind w:left="0" w:right="0" w:firstLine="0"/>
              <w:jc w:val="center"/>
              <w:keepLines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TRACK 5B  |  CROSS-GROUP DISCOVERY</w:t>
            </w:r>
          </w:p>
        </w:tc>
      </w:tr>
      <w:tr>
        <w:trPr>
          <w:cantSplit w:val="true"/>
        </w:trPr>
        <w:tc>
          <w:tcPr>
            <w:tcW w:type="dxa" w:w="7229"/>
            <w:shd w:fill="FFF1E2" w:val="clear"/>
            <w:vAlign w:val="center"/>
            <w:tcMar>
              <w:top w:w="60" w:type="dxa"/>
              <w:bottom w:w="60" w:type="dxa"/>
              <w:start w:w="105" w:type="dxa"/>
              <w:end w:w="105" w:type="dxa"/>
            </w:tcMar>
            <w:tcBorders>
              <w:top w:val="single" w:sz="5" w:color="D9E8FA"/>
              <w:bottom w:val="single" w:sz="6" w:color="071C41"/>
              <w:left w:val="single" w:sz="6" w:color="071C41"/>
              <w:right w:val="single" w:sz="5" w:color="D9E8FA"/>
            </w:tcBorders>
          </w:tcPr>
          <w:p>
            <w:pPr>
              <w:pStyle w:val="V0TableBody"/>
              <w:spacing w:after="0"/>
              <w:ind w:left="0" w:right="0" w:firstLine="0"/>
              <w:jc w:val="center"/>
              <w:keepLines/>
            </w:pPr>
            <w:r/>
            <w:r>
              <w:rPr>
                <w:rFonts w:ascii="Arial" w:hAnsi="Arial" w:eastAsia="Arial"/>
                <w:b/>
                <w:color w:val="071C41"/>
                <w:sz w:val="17"/>
              </w:rPr>
              <w:t>Can the selected keeper safely replace the document marked for removal?</w:t>
            </w:r>
          </w:p>
        </w:tc>
        <w:tc>
          <w:tcPr>
            <w:tcW w:type="dxa" w:w="7229"/>
            <w:shd w:fill="EDF7F7" w:val="clear"/>
            <w:vAlign w:val="center"/>
            <w:tcMar>
              <w:top w:w="60" w:type="dxa"/>
              <w:bottom w:w="60" w:type="dxa"/>
              <w:start w:w="105" w:type="dxa"/>
              <w:end w:w="105" w:type="dxa"/>
            </w:tcMar>
            <w:tcBorders>
              <w:top w:val="single" w:sz="5" w:color="D9E8FA"/>
              <w:bottom w:val="single" w:sz="6" w:color="071C41"/>
              <w:left w:val="single" w:sz="5" w:color="D9E8FA"/>
              <w:right w:val="single" w:sz="6" w:color="071C41"/>
            </w:tcBorders>
          </w:tcPr>
          <w:p>
            <w:pPr>
              <w:pStyle w:val="V0TableBody"/>
              <w:spacing w:after="0"/>
              <w:ind w:left="0" w:right="0" w:firstLine="0"/>
              <w:jc w:val="center"/>
              <w:keepLines/>
            </w:pPr>
            <w:r/>
            <w:r>
              <w:rPr>
                <w:rFonts w:ascii="Arial" w:hAnsi="Arial" w:eastAsia="Arial"/>
                <w:b/>
                <w:color w:val="071C41"/>
                <w:sz w:val="17"/>
              </w:rPr>
              <w:t>Do documents assigned to different predicted groups actually belong in the same duplicate group?</w:t>
            </w:r>
          </w:p>
        </w:tc>
      </w:tr>
    </w:tbl>
    <w:tbl>
      <w:tblPr>
        <w:tblW w:type="dxa" w:w="14458"/>
        <w:jc w:val="left"/>
        <w:tblLayout w:type="fixed"/>
        <w:tblLook w:firstColumn="1" w:firstRow="1" w:lastColumn="0" w:lastRow="0" w:noHBand="0" w:noVBand="1" w:val="04A0"/>
        <w:tblInd w:type="dxa" w:w="105"/>
      </w:tblPr>
      <w:tblGrid>
        <w:gridCol w:w="3398"/>
        <w:gridCol w:w="11060"/>
      </w:tblGrid>
      <w:tr>
        <w:trPr>
          <w:cantSplit w:val="true"/>
          <w:tblHeader w:val="true"/>
        </w:trPr>
        <w:tc>
          <w:tcPr>
            <w:tcW w:type="dxa" w:w="3398"/>
            <w:shd w:fill="095A62" w:val="clear"/>
            <w:vAlign w:val="center"/>
            <w:tcMar>
              <w:top w:w="90" w:type="dxa"/>
              <w:bottom w:w="90" w:type="dxa"/>
              <w:start w:w="105" w:type="dxa"/>
              <w:end w:w="105" w:type="dxa"/>
            </w:tcMar>
            <w:tcBorders>
              <w:top w:val="single" w:sz="6" w:color="071C41"/>
              <w:bottom w:val="single" w:sz="5" w:color="D9E8FA"/>
              <w:left w:val="single" w:sz="6" w:color="071C41"/>
              <w:right w:val="single" w:sz="5" w:color="D9E8FA"/>
            </w:tcBorders>
          </w:tcPr>
          <w:p>
            <w:pPr>
              <w:pStyle w:val="V0TableHeader"/>
              <w:spacing w:after="0"/>
              <w:ind w:left="0" w:right="0" w:firstLine="0"/>
              <w:jc w:val="center"/>
              <w:keepLines/>
            </w:pPr>
            <w:r/>
            <w:r>
              <w:rPr>
                <w:rFonts w:ascii="Arial" w:hAnsi="Arial" w:eastAsia="Arial"/>
                <w:b/>
                <w:color w:val="FFFFFF"/>
                <w:sz w:val="32"/>
              </w:rPr>
              <w:t>6</w:t>
            </w:r>
          </w:p>
          <w:p>
            <w:pPr>
              <w:pStyle w:val="V0TableHeader"/>
              <w:spacing w:before="0" w:after="0"/>
              <w:ind w:left="0" w:right="0" w:firstLine="0"/>
              <w:jc w:val="center"/>
              <w:keepLines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RUN THE BLIND MODEL JUDGE</w:t>
            </w:r>
          </w:p>
        </w:tc>
        <w:tc>
          <w:tcPr>
            <w:tcW w:type="dxa" w:w="11060"/>
            <w:shd w:fill="EDF7F7" w:val="clear"/>
            <w:vAlign w:val="center"/>
            <w:tcMar>
              <w:top w:w="90" w:type="dxa"/>
              <w:bottom w:w="90" w:type="dxa"/>
              <w:start w:w="105" w:type="dxa"/>
              <w:end w:w="105" w:type="dxa"/>
            </w:tcMar>
            <w:tcBorders>
              <w:top w:val="single" w:sz="6" w:color="071C41"/>
              <w:bottom w:val="single" w:sz="5" w:color="D9E8FA"/>
              <w:left w:val="single" w:sz="5" w:color="D9E8FA"/>
              <w:right w:val="single" w:sz="6" w:color="071C41"/>
            </w:tcBorders>
          </w:tcPr>
          <w:p>
            <w:pPr>
              <w:pStyle w:val="V0SmallBody"/>
              <w:spacing w:before="0" w:after="60" w:line="259" w:lineRule="auto"/>
              <w:ind w:left="259" w:hanging="144" w:right="29"/>
              <w:numPr>
                <w:ilvl w:val="0"/>
                <w:numId w:val="1"/>
              </w:numPr>
            </w:pPr>
            <w:r/>
            <w:r>
              <w:rPr>
                <w:rFonts w:ascii="Arial" w:hAnsi="Arial" w:eastAsia="Arial"/>
                <w:color w:val="111827"/>
                <w:sz w:val="17"/>
              </w:rPr>
              <w:t>Show text and neutral metadata only; hide SUT and retrieval information.</w:t>
            </w:r>
          </w:p>
          <w:p>
            <w:pPr>
              <w:pStyle w:val="V0SmallBody"/>
              <w:spacing w:before="0" w:after="60" w:line="259" w:lineRule="auto"/>
              <w:ind w:left="259" w:hanging="144" w:right="29"/>
              <w:numPr>
                <w:ilvl w:val="0"/>
                <w:numId w:val="1"/>
              </w:numPr>
            </w:pPr>
            <w:r>
              <w:rPr>
                <w:rFonts w:ascii="Arial" w:hAnsi="Arial" w:eastAsia="Arial"/>
                <w:color w:val="111827"/>
                <w:sz w:val="17"/>
              </w:rPr>
              <w:t>Return structured duplicate relation and directional replacement labels.</w:t>
            </w:r>
          </w:p>
          <w:p>
            <w:pPr>
              <w:pStyle w:val="V0SmallBody"/>
              <w:spacing w:before="0" w:after="60" w:line="259" w:lineRule="auto"/>
              <w:ind w:left="259" w:hanging="144" w:right="29"/>
              <w:numPr>
                <w:ilvl w:val="0"/>
                <w:numId w:val="1"/>
              </w:numPr>
            </w:pPr>
            <w:r>
              <w:rPr>
                <w:rFonts w:ascii="Arial" w:hAnsi="Arial" w:eastAsia="Arial"/>
                <w:color w:val="111827"/>
                <w:sz w:val="17"/>
              </w:rPr>
              <w:t>Validate the schema, retain unresolved/errors, and run a 200-pair human QA sample.</w:t>
            </w:r>
          </w:p>
        </w:tc>
      </w:tr>
      <w:tr>
        <w:trPr>
          <w:cantSplit w:val="true"/>
        </w:trPr>
        <w:tc>
          <w:tcPr>
            <w:tcW w:type="dxa" w:w="3398"/>
            <w:shd w:fill="CD580A" w:val="clear"/>
            <w:vAlign w:val="center"/>
            <w:tcMar>
              <w:top w:w="90" w:type="dxa"/>
              <w:bottom w:w="90" w:type="dxa"/>
              <w:start w:w="105" w:type="dxa"/>
              <w:end w:w="105" w:type="dxa"/>
            </w:tcMar>
            <w:tcBorders>
              <w:top w:val="single" w:sz="5" w:color="D9E8FA"/>
              <w:bottom w:val="single" w:sz="6" w:color="071C41"/>
              <w:left w:val="single" w:sz="6" w:color="071C41"/>
              <w:right w:val="single" w:sz="5" w:color="D9E8FA"/>
            </w:tcBorders>
          </w:tcPr>
          <w:p>
            <w:pPr>
              <w:pStyle w:val="V0TableHeader"/>
              <w:spacing w:after="0"/>
              <w:ind w:left="0" w:right="0" w:firstLine="0"/>
              <w:jc w:val="center"/>
              <w:keepLines/>
            </w:pPr>
            <w:r/>
            <w:r>
              <w:rPr>
                <w:rFonts w:ascii="Arial" w:hAnsi="Arial" w:eastAsia="Arial"/>
                <w:b/>
                <w:color w:val="FFFFFF"/>
                <w:sz w:val="32"/>
              </w:rPr>
              <w:t>7</w:t>
            </w:r>
          </w:p>
          <w:p>
            <w:pPr>
              <w:pStyle w:val="V0TableHeader"/>
              <w:spacing w:before="0" w:after="0"/>
              <w:ind w:left="0" w:right="0" w:firstLine="0"/>
              <w:jc w:val="center"/>
              <w:keepLines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BUILD A PARTIAL JUDGED GRAPH</w:t>
            </w:r>
          </w:p>
        </w:tc>
        <w:tc>
          <w:tcPr>
            <w:tcW w:type="dxa" w:w="11060"/>
            <w:shd w:fill="FFF1E2" w:val="clear"/>
            <w:vAlign w:val="center"/>
            <w:tcMar>
              <w:top w:w="90" w:type="dxa"/>
              <w:bottom w:w="90" w:type="dxa"/>
              <w:start w:w="105" w:type="dxa"/>
              <w:end w:w="105" w:type="dxa"/>
            </w:tcMar>
            <w:tcBorders>
              <w:top w:val="single" w:sz="5" w:color="D9E8FA"/>
              <w:bottom w:val="single" w:sz="6" w:color="071C41"/>
              <w:left w:val="single" w:sz="5" w:color="D9E8FA"/>
              <w:right w:val="single" w:sz="6" w:color="071C41"/>
            </w:tcBorders>
          </w:tcPr>
          <w:p>
            <w:pPr>
              <w:pStyle w:val="V0SmallBody"/>
              <w:spacing w:before="0" w:after="60" w:line="259" w:lineRule="auto"/>
              <w:ind w:left="259" w:hanging="144" w:right="29"/>
              <w:numPr>
                <w:ilvl w:val="0"/>
                <w:numId w:val="1"/>
              </w:numPr>
            </w:pPr>
            <w:r/>
            <w:r>
              <w:rPr>
                <w:rFonts w:ascii="Arial" w:hAnsi="Arial" w:eastAsia="Arial"/>
                <w:color w:val="111827"/>
                <w:sz w:val="17"/>
              </w:rPr>
              <w:t>High-confidence YES becomes a must-link; NO becomes a cannot-link.</w:t>
            </w:r>
          </w:p>
          <w:p>
            <w:pPr>
              <w:pStyle w:val="V0SmallBody"/>
              <w:spacing w:before="0" w:after="60" w:line="259" w:lineRule="auto"/>
              <w:ind w:left="259" w:hanging="144" w:right="29"/>
              <w:numPr>
                <w:ilvl w:val="0"/>
                <w:numId w:val="1"/>
              </w:numPr>
            </w:pPr>
            <w:r>
              <w:rPr>
                <w:rFonts w:ascii="Arial" w:hAnsi="Arial" w:eastAsia="Arial"/>
                <w:color w:val="111827"/>
                <w:sz w:val="17"/>
              </w:rPr>
              <w:t>Check constraint conflicts before merging components.</w:t>
            </w:r>
          </w:p>
          <w:p>
            <w:pPr>
              <w:pStyle w:val="V0SmallBody"/>
              <w:spacing w:before="0" w:after="60" w:line="259" w:lineRule="auto"/>
              <w:ind w:left="259" w:hanging="144" w:right="29"/>
              <w:numPr>
                <w:ilvl w:val="0"/>
                <w:numId w:val="1"/>
              </w:numPr>
            </w:pPr>
            <w:r>
              <w:rPr>
                <w:rFonts w:ascii="Arial" w:hAnsi="Arial" w:eastAsia="Arial"/>
                <w:color w:val="111827"/>
                <w:sz w:val="17"/>
              </w:rPr>
              <w:t>Build a partial judged constraint graph - not complete corpus ground truth.</w:t>
            </w:r>
          </w:p>
        </w:tc>
      </w:tr>
    </w:tbl>
    <w:p>
      <w:pPr>
        <w:pStyle w:val="V0Section"/>
        <w:spacing w:before="80" w:after="40" w:line="240" w:lineRule="auto"/>
        <w:ind w:left="115" w:right="29"/>
        <w:shd w:fill="331B78" w:val="clear"/>
      </w:pPr>
      <w:r>
        <w:rPr>
          <w:rFonts w:ascii="Arial" w:hAnsi="Arial" w:eastAsia="Arial"/>
          <w:b/>
          <w:color w:val="FFFFFF"/>
          <w:sz w:val="21"/>
        </w:rPr>
        <w:t>PHASE 3  |  COMPARISON, METRICS &amp; REPORTING</w:t>
      </w:r>
      <w:r>
        <w:rPr>
          <w:rFonts w:ascii="Arial" w:hAnsi="Arial" w:eastAsia="Arial"/>
          <w:b w:val="0"/>
          <w:color w:val="FFFFFF"/>
          <w:sz w:val="17"/>
        </w:rPr>
        <w:t xml:space="preserve">    Steps 8-10</w:t>
      </w:r>
    </w:p>
    <w:tbl>
      <w:tblPr>
        <w:tblW w:type="dxa" w:w="14458"/>
        <w:jc w:val="left"/>
        <w:tblLayout w:type="fixed"/>
        <w:tblLook w:firstColumn="1" w:firstRow="1" w:lastColumn="0" w:lastRow="0" w:noHBand="0" w:noVBand="1" w:val="04A0"/>
        <w:tblInd w:type="dxa" w:w="105"/>
      </w:tblPr>
      <w:tblGrid>
        <w:gridCol w:w="3398"/>
        <w:gridCol w:w="11060"/>
      </w:tblGrid>
      <w:tr>
        <w:trPr>
          <w:cantSplit w:val="true"/>
          <w:tblHeader w:val="true"/>
        </w:trPr>
        <w:tc>
          <w:tcPr>
            <w:tcW w:type="dxa" w:w="3398"/>
            <w:shd w:fill="062F90" w:val="clear"/>
            <w:vAlign w:val="center"/>
            <w:tcMar>
              <w:top w:w="90" w:type="dxa"/>
              <w:bottom w:w="90" w:type="dxa"/>
              <w:start w:w="105" w:type="dxa"/>
              <w:end w:w="105" w:type="dxa"/>
            </w:tcMar>
            <w:tcBorders>
              <w:top w:val="single" w:sz="6" w:color="071C41"/>
              <w:bottom w:val="single" w:sz="5" w:color="D9E8FA"/>
              <w:left w:val="single" w:sz="6" w:color="071C41"/>
              <w:right w:val="single" w:sz="5" w:color="D9E8FA"/>
            </w:tcBorders>
          </w:tcPr>
          <w:p>
            <w:pPr>
              <w:pStyle w:val="V0TableHeader"/>
              <w:spacing w:after="0"/>
              <w:ind w:left="0" w:right="0" w:firstLine="0"/>
              <w:jc w:val="center"/>
              <w:keepLines/>
            </w:pPr>
            <w:r/>
            <w:r>
              <w:rPr>
                <w:rFonts w:ascii="Arial" w:hAnsi="Arial" w:eastAsia="Arial"/>
                <w:b/>
                <w:color w:val="FFFFFF"/>
                <w:sz w:val="32"/>
              </w:rPr>
              <w:t>8</w:t>
            </w:r>
          </w:p>
          <w:p>
            <w:pPr>
              <w:pStyle w:val="V0TableHeader"/>
              <w:spacing w:before="0" w:after="0"/>
              <w:ind w:left="0" w:right="0" w:firstLine="0"/>
              <w:jc w:val="center"/>
              <w:keepLines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COMPARE SUT VS. JUDGED LABELS</w:t>
            </w:r>
          </w:p>
        </w:tc>
        <w:tc>
          <w:tcPr>
            <w:tcW w:type="dxa" w:w="11060"/>
            <w:shd w:fill="EEF4FB" w:val="clear"/>
            <w:vAlign w:val="center"/>
            <w:tcMar>
              <w:top w:w="90" w:type="dxa"/>
              <w:bottom w:w="90" w:type="dxa"/>
              <w:start w:w="105" w:type="dxa"/>
              <w:end w:w="105" w:type="dxa"/>
            </w:tcMar>
            <w:tcBorders>
              <w:top w:val="single" w:sz="6" w:color="071C41"/>
              <w:bottom w:val="single" w:sz="5" w:color="D9E8FA"/>
              <w:left w:val="single" w:sz="5" w:color="D9E8FA"/>
              <w:right w:val="single" w:sz="6" w:color="071C41"/>
            </w:tcBorders>
          </w:tcPr>
          <w:p>
            <w:pPr>
              <w:pStyle w:val="V0SmallBody"/>
              <w:spacing w:before="0" w:after="60" w:line="259" w:lineRule="auto"/>
              <w:ind w:left="259" w:hanging="144" w:right="29"/>
              <w:numPr>
                <w:ilvl w:val="0"/>
                <w:numId w:val="1"/>
              </w:numPr>
            </w:pPr>
            <w:r/>
            <w:r>
              <w:rPr>
                <w:rFonts w:ascii="Arial" w:hAnsi="Arial" w:eastAsia="Arial"/>
                <w:color w:val="111827"/>
                <w:sz w:val="17"/>
              </w:rPr>
              <w:t>Join blind judge results back to the hidden SUT predictions and pair provenance.</w:t>
            </w:r>
          </w:p>
          <w:p>
            <w:pPr>
              <w:pStyle w:val="V0SmallBody"/>
              <w:spacing w:before="0" w:after="60" w:line="259" w:lineRule="auto"/>
              <w:ind w:left="259" w:hanging="144" w:right="29"/>
              <w:numPr>
                <w:ilvl w:val="0"/>
                <w:numId w:val="1"/>
              </w:numPr>
            </w:pPr>
            <w:r>
              <w:rPr>
                <w:rFonts w:ascii="Arial" w:hAnsi="Arial" w:eastAsia="Arial"/>
                <w:color w:val="111827"/>
                <w:sz w:val="17"/>
              </w:rPr>
              <w:t>Recover keeper/removed direction for Track 5a.</w:t>
            </w:r>
          </w:p>
          <w:p>
            <w:pPr>
              <w:pStyle w:val="V0SmallBody"/>
              <w:spacing w:before="0" w:after="60" w:line="259" w:lineRule="auto"/>
              <w:ind w:left="259" w:hanging="144" w:right="29"/>
              <w:numPr>
                <w:ilvl w:val="0"/>
                <w:numId w:val="1"/>
              </w:numPr>
            </w:pPr>
            <w:r>
              <w:rPr>
                <w:rFonts w:ascii="Arial" w:hAnsi="Arial" w:eastAsia="Arial"/>
                <w:color w:val="111827"/>
                <w:sz w:val="17"/>
              </w:rPr>
              <w:t>Classify pair outcomes separately for removal-safety and cross-group tracks.</w:t>
            </w:r>
          </w:p>
        </w:tc>
      </w:tr>
      <w:tr>
        <w:trPr>
          <w:cantSplit w:val="true"/>
        </w:trPr>
        <w:tc>
          <w:tcPr>
            <w:tcW w:type="dxa" w:w="3398"/>
            <w:shd w:fill="331B78" w:val="clear"/>
            <w:vAlign w:val="center"/>
            <w:tcMar>
              <w:top w:w="90" w:type="dxa"/>
              <w:bottom w:w="90" w:type="dxa"/>
              <w:start w:w="105" w:type="dxa"/>
              <w:end w:w="105" w:type="dxa"/>
            </w:tcMar>
            <w:tcBorders>
              <w:top w:val="single" w:sz="5" w:color="D9E8FA"/>
              <w:bottom w:val="single" w:sz="5" w:color="D9E8FA"/>
              <w:left w:val="single" w:sz="6" w:color="071C41"/>
              <w:right w:val="single" w:sz="5" w:color="D9E8FA"/>
            </w:tcBorders>
          </w:tcPr>
          <w:p>
            <w:pPr>
              <w:pStyle w:val="V0TableHeader"/>
              <w:spacing w:after="0"/>
              <w:ind w:left="0" w:right="0" w:firstLine="0"/>
              <w:jc w:val="center"/>
              <w:keepLines/>
            </w:pPr>
            <w:r/>
            <w:r>
              <w:rPr>
                <w:rFonts w:ascii="Arial" w:hAnsi="Arial" w:eastAsia="Arial"/>
                <w:b/>
                <w:color w:val="FFFFFF"/>
                <w:sz w:val="32"/>
              </w:rPr>
              <w:t>9</w:t>
            </w:r>
          </w:p>
          <w:p>
            <w:pPr>
              <w:pStyle w:val="V0TableHeader"/>
              <w:spacing w:before="0" w:after="0"/>
              <w:ind w:left="0" w:right="0" w:firstLine="0"/>
              <w:jc w:val="center"/>
              <w:keepLines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CALCULATE V0 METRICS</w:t>
            </w:r>
          </w:p>
        </w:tc>
        <w:tc>
          <w:tcPr>
            <w:tcW w:type="dxa" w:w="11060"/>
            <w:shd w:fill="F3F0FA" w:val="clear"/>
            <w:vAlign w:val="center"/>
            <w:tcMar>
              <w:top w:w="90" w:type="dxa"/>
              <w:bottom w:w="90" w:type="dxa"/>
              <w:start w:w="105" w:type="dxa"/>
              <w:end w:w="105" w:type="dxa"/>
            </w:tcMar>
            <w:tcBorders>
              <w:top w:val="single" w:sz="5" w:color="D9E8FA"/>
              <w:bottom w:val="single" w:sz="5" w:color="D9E8FA"/>
              <w:left w:val="single" w:sz="5" w:color="D9E8FA"/>
              <w:right w:val="single" w:sz="6" w:color="071C41"/>
            </w:tcBorders>
          </w:tcPr>
          <w:p>
            <w:pPr>
              <w:pStyle w:val="V0SmallBody"/>
              <w:spacing w:before="0" w:after="60" w:line="259" w:lineRule="auto"/>
              <w:ind w:left="259" w:hanging="144" w:right="29"/>
              <w:numPr>
                <w:ilvl w:val="0"/>
                <w:numId w:val="1"/>
              </w:numPr>
            </w:pPr>
            <w:r/>
            <w:r>
              <w:rPr>
                <w:rFonts w:ascii="Arial" w:hAnsi="Arial" w:eastAsia="Arial"/>
                <w:color w:val="111827"/>
                <w:sz w:val="17"/>
              </w:rPr>
              <w:t>Track 5a: removal precision, wrong-removal rate, and optional minimum-diff safety pass rate.</w:t>
            </w:r>
          </w:p>
          <w:p>
            <w:pPr>
              <w:pStyle w:val="V0SmallBody"/>
              <w:spacing w:before="0" w:after="60" w:line="259" w:lineRule="auto"/>
              <w:ind w:left="259" w:hanging="144" w:right="29"/>
              <w:numPr>
                <w:ilvl w:val="0"/>
                <w:numId w:val="1"/>
              </w:numPr>
            </w:pPr>
            <w:r>
              <w:rPr>
                <w:rFonts w:ascii="Arial" w:hAnsi="Arial" w:eastAsia="Arial"/>
                <w:color w:val="111827"/>
                <w:sz w:val="17"/>
              </w:rPr>
              <w:t>Track 5b: candidate-pool positive yield, retriever overlap, and unique positive contribution.</w:t>
            </w:r>
          </w:p>
          <w:p>
            <w:pPr>
              <w:pStyle w:val="V0SmallBody"/>
              <w:spacing w:before="0" w:after="60" w:line="259" w:lineRule="auto"/>
              <w:ind w:left="259" w:hanging="144" w:right="29"/>
              <w:numPr>
                <w:ilvl w:val="0"/>
                <w:numId w:val="1"/>
              </w:numPr>
            </w:pPr>
            <w:r>
              <w:rPr>
                <w:rFonts w:ascii="Arial" w:hAnsi="Arial" w:eastAsia="Arial"/>
                <w:color w:val="111827"/>
                <w:sz w:val="17"/>
              </w:rPr>
              <w:t>Also report judge completion/resolution and human-judge agreement; do not claim corpus recall.</w:t>
            </w:r>
          </w:p>
        </w:tc>
      </w:tr>
      <w:tr>
        <w:trPr>
          <w:cantSplit w:val="true"/>
        </w:trPr>
        <w:tc>
          <w:tcPr>
            <w:tcW w:type="dxa" w:w="3398"/>
            <w:shd w:fill="071C41" w:val="clear"/>
            <w:vAlign w:val="center"/>
            <w:tcMar>
              <w:top w:w="90" w:type="dxa"/>
              <w:bottom w:w="90" w:type="dxa"/>
              <w:start w:w="105" w:type="dxa"/>
              <w:end w:w="105" w:type="dxa"/>
            </w:tcMar>
            <w:tcBorders>
              <w:top w:val="single" w:sz="5" w:color="D9E8FA"/>
              <w:bottom w:val="single" w:sz="6" w:color="071C41"/>
              <w:left w:val="single" w:sz="6" w:color="071C41"/>
              <w:right w:val="single" w:sz="5" w:color="D9E8FA"/>
            </w:tcBorders>
          </w:tcPr>
          <w:p>
            <w:pPr>
              <w:pStyle w:val="V0TableHeader"/>
              <w:spacing w:after="0"/>
              <w:ind w:left="0" w:right="0" w:firstLine="0"/>
              <w:jc w:val="center"/>
              <w:keepLines/>
            </w:pPr>
            <w:r/>
            <w:r>
              <w:rPr>
                <w:rFonts w:ascii="Arial" w:hAnsi="Arial" w:eastAsia="Arial"/>
                <w:b/>
                <w:color w:val="FFFFFF"/>
                <w:sz w:val="28"/>
              </w:rPr>
              <w:t>10</w:t>
            </w:r>
          </w:p>
          <w:p>
            <w:pPr>
              <w:pStyle w:val="V0TableHeader"/>
              <w:spacing w:before="0" w:after="0"/>
              <w:ind w:left="0" w:right="0" w:firstLine="0"/>
              <w:jc w:val="center"/>
              <w:keepLines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REPORT RESULTS &amp; REPRODUCIBILITY</w:t>
            </w:r>
          </w:p>
        </w:tc>
        <w:tc>
          <w:tcPr>
            <w:tcW w:type="dxa" w:w="11060"/>
            <w:shd w:fill="EEF1F6" w:val="clear"/>
            <w:vAlign w:val="center"/>
            <w:tcMar>
              <w:top w:w="90" w:type="dxa"/>
              <w:bottom w:w="90" w:type="dxa"/>
              <w:start w:w="105" w:type="dxa"/>
              <w:end w:w="105" w:type="dxa"/>
            </w:tcMar>
            <w:tcBorders>
              <w:top w:val="single" w:sz="5" w:color="D9E8FA"/>
              <w:bottom w:val="single" w:sz="6" w:color="071C41"/>
              <w:left w:val="single" w:sz="5" w:color="D9E8FA"/>
              <w:right w:val="single" w:sz="6" w:color="071C41"/>
            </w:tcBorders>
          </w:tcPr>
          <w:p>
            <w:pPr>
              <w:pStyle w:val="V0SmallBody"/>
              <w:spacing w:before="0" w:after="60" w:line="259" w:lineRule="auto"/>
              <w:ind w:left="259" w:hanging="144" w:right="29"/>
              <w:numPr>
                <w:ilvl w:val="0"/>
                <w:numId w:val="1"/>
              </w:numPr>
            </w:pPr>
            <w:r/>
            <w:r>
              <w:rPr>
                <w:rFonts w:ascii="Arial" w:hAnsi="Arial" w:eastAsia="Arial"/>
                <w:color w:val="111827"/>
                <w:sz w:val="17"/>
              </w:rPr>
              <w:t>Summarize pipeline accounting, observed failure modes, and the frozen configuration.</w:t>
            </w:r>
          </w:p>
          <w:p>
            <w:pPr>
              <w:pStyle w:val="V0SmallBody"/>
              <w:spacing w:before="0" w:after="60" w:line="259" w:lineRule="auto"/>
              <w:ind w:left="259" w:hanging="144" w:right="29"/>
              <w:numPr>
                <w:ilvl w:val="0"/>
                <w:numId w:val="1"/>
              </w:numPr>
            </w:pPr>
            <w:r>
              <w:rPr>
                <w:rFonts w:ascii="Arial" w:hAnsi="Arial" w:eastAsia="Arial"/>
                <w:color w:val="111827"/>
                <w:sz w:val="17"/>
              </w:rPr>
              <w:t>Report Track 5a and Track 5b separately with explicit limitations.</w:t>
            </w:r>
          </w:p>
          <w:p>
            <w:pPr>
              <w:pStyle w:val="V0SmallBody"/>
              <w:spacing w:before="0" w:after="60" w:line="259" w:lineRule="auto"/>
              <w:ind w:left="259" w:hanging="144" w:right="29"/>
              <w:numPr>
                <w:ilvl w:val="0"/>
                <w:numId w:val="1"/>
              </w:numPr>
            </w:pPr>
            <w:r>
              <w:rPr>
                <w:rFonts w:ascii="Arial" w:hAnsi="Arial" w:eastAsia="Arial"/>
                <w:color w:val="111827"/>
                <w:sz w:val="17"/>
              </w:rPr>
              <w:t>Publish configs, data, judge logs, metrics, deviations, and the reproducibility bundle.</w:t>
            </w:r>
          </w:p>
        </w:tc>
      </w:tr>
    </w:tbl>
    <w:p>
      <w:pPr>
        <w:pStyle w:val="V0Callout"/>
        <w:spacing w:before="60" w:after="80" w:line="252" w:lineRule="auto"/>
        <w:ind w:left="144" w:right="144"/>
        <w:shd w:fill="FFF5D8" w:val="clear"/>
        <w:pBdr>
          <w:left w:val="single" w:sz="18" w:space="8" w:color="C78B00"/>
        </w:pBdr>
        <w:keepLines/>
      </w:pPr>
      <w:r>
        <w:rPr>
          <w:rFonts w:ascii="Arial" w:hAnsi="Arial" w:eastAsia="Arial"/>
          <w:b/>
          <w:color w:val="C78B00"/>
          <w:sz w:val="16"/>
        </w:rPr>
        <w:t xml:space="preserve">V0 REPORTING BOUNDARY. </w:t>
      </w:r>
      <w:r>
        <w:rPr>
          <w:rFonts w:ascii="Arial" w:hAnsi="Arial" w:eastAsia="Arial"/>
          <w:color w:val="071C41"/>
          <w:sz w:val="16"/>
        </w:rPr>
        <w:t>Track 5a estimates removal safety on the sampled removal-decision frame. Track 5b reports missed-duplicate yield in the sampled candidate pool. Do not pool the two frames, call Track 5b corpus recall, or treat the partial judged graph as complete ground truth.</w:t>
      </w:r>
    </w:p>
    <w:sectPr>
      <w:headerReference w:type="default" r:id="rId36"/>
      <w:footerReference w:type="default" r:id="rId37"/>
      <w:headerReference w:type="first" r:id="rId38"/>
      <w:footerReference w:type="first" r:id="rId39"/>
      <w:pgSz w:h="16416" w:w="15120" w:orient="portrait"/>
      <w:pgMar w:bottom="72" w:top="72" w:left="331" w:right="331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rial Unicode MS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14"/>
        <w:szCs w:val="1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</w:tblPr>
  </w:style>
  <w:style w:type="paragraph" w:customStyle="1" w:styleId="V0PosterTitle">
    <w:name w:val="V0 Poster Title"/>
    <w:basedOn w:val="Normal"/>
    <w:pPr>
      <w:spacing w:before="0" w:after="40" w:line="240" w:lineRule="auto"/>
    </w:pPr>
    <w:rPr>
      <w:rFonts w:ascii="Arial" w:hAnsi="Arial" w:eastAsia="Arial"/>
      <w:b/>
      <w:color w:val="071C41"/>
      <w:sz w:val="43"/>
    </w:rPr>
  </w:style>
  <w:style w:type="paragraph" w:customStyle="1" w:styleId="V0PosterSubtitle">
    <w:name w:val="V0 Poster Subtitle"/>
    <w:basedOn w:val="Normal"/>
    <w:pPr>
      <w:spacing w:before="0" w:after="120" w:line="240" w:lineRule="auto"/>
    </w:pPr>
    <w:rPr>
      <w:rFonts w:ascii="Arial" w:hAnsi="Arial" w:eastAsia="Arial"/>
      <w:b w:val="0"/>
      <w:color w:val="556274"/>
      <w:sz w:val="19"/>
    </w:rPr>
  </w:style>
  <w:style w:type="paragraph" w:customStyle="1" w:styleId="V0Kicker">
    <w:name w:val="V0 Kicker"/>
    <w:basedOn w:val="Normal"/>
    <w:pPr>
      <w:spacing w:before="0" w:after="20" w:line="240" w:lineRule="auto"/>
    </w:pPr>
    <w:rPr>
      <w:rFonts w:ascii="Arial" w:hAnsi="Arial" w:eastAsia="Arial"/>
      <w:b/>
      <w:color w:val="062F90"/>
      <w:sz w:val="16"/>
    </w:rPr>
  </w:style>
  <w:style w:type="paragraph" w:customStyle="1" w:styleId="V0Section">
    <w:name w:val="V0 Section"/>
    <w:basedOn w:val="Normal"/>
    <w:pPr>
      <w:spacing w:before="100" w:after="60" w:line="240" w:lineRule="auto"/>
    </w:pPr>
    <w:rPr>
      <w:rFonts w:ascii="Arial" w:hAnsi="Arial" w:eastAsia="Arial"/>
      <w:b/>
      <w:color w:val="071C41"/>
      <w:sz w:val="24"/>
    </w:rPr>
  </w:style>
  <w:style w:type="paragraph" w:customStyle="1" w:styleId="V0Subsection">
    <w:name w:val="V0 Subsection"/>
    <w:basedOn w:val="Normal"/>
    <w:pPr>
      <w:spacing w:before="80" w:after="40" w:line="240" w:lineRule="auto"/>
    </w:pPr>
    <w:rPr>
      <w:rFonts w:ascii="Arial" w:hAnsi="Arial" w:eastAsia="Arial"/>
      <w:b/>
      <w:color w:val="062F90"/>
      <w:sz w:val="19"/>
    </w:rPr>
  </w:style>
  <w:style w:type="paragraph" w:customStyle="1" w:styleId="V0Body">
    <w:name w:val="V0 Body"/>
    <w:basedOn w:val="Normal"/>
    <w:pPr>
      <w:spacing w:before="0" w:after="40" w:line="252" w:lineRule="auto"/>
    </w:pPr>
    <w:rPr>
      <w:rFonts w:ascii="Arial" w:hAnsi="Arial" w:eastAsia="Arial"/>
      <w:b w:val="0"/>
      <w:color w:val="111827"/>
      <w:sz w:val="17"/>
    </w:rPr>
  </w:style>
  <w:style w:type="paragraph" w:customStyle="1" w:styleId="V0SmallBody">
    <w:name w:val="V0 Small Body"/>
    <w:basedOn w:val="Normal"/>
    <w:pPr>
      <w:spacing w:before="0" w:after="0" w:line="240" w:lineRule="auto"/>
    </w:pPr>
    <w:rPr>
      <w:rFonts w:ascii="Arial" w:hAnsi="Arial" w:eastAsia="Arial"/>
      <w:b w:val="0"/>
      <w:color w:val="111827"/>
      <w:sz w:val="14"/>
    </w:rPr>
  </w:style>
  <w:style w:type="paragraph" w:customStyle="1" w:styleId="V0TableHeader">
    <w:name w:val="V0 Table Header"/>
    <w:basedOn w:val="Normal"/>
    <w:pPr>
      <w:spacing w:before="0" w:after="0" w:line="240" w:lineRule="auto"/>
    </w:pPr>
    <w:rPr>
      <w:rFonts w:ascii="Arial" w:hAnsi="Arial" w:eastAsia="Arial"/>
      <w:b/>
      <w:color w:val="FFFFFF"/>
      <w:sz w:val="15"/>
    </w:rPr>
  </w:style>
  <w:style w:type="paragraph" w:customStyle="1" w:styleId="V0TableBody">
    <w:name w:val="V0 Table Body"/>
    <w:basedOn w:val="Normal"/>
    <w:pPr>
      <w:spacing w:before="0" w:after="0" w:line="240" w:lineRule="auto"/>
    </w:pPr>
    <w:rPr>
      <w:rFonts w:ascii="Arial" w:hAnsi="Arial" w:eastAsia="Arial"/>
      <w:b w:val="0"/>
      <w:color w:val="111827"/>
      <w:sz w:val="14"/>
    </w:rPr>
  </w:style>
  <w:style w:type="paragraph" w:customStyle="1" w:styleId="V0TableSmall">
    <w:name w:val="V0 Table Small"/>
    <w:basedOn w:val="Normal"/>
    <w:pPr>
      <w:spacing w:before="0" w:after="0" w:line="240" w:lineRule="auto"/>
    </w:pPr>
    <w:rPr>
      <w:rFonts w:ascii="Arial" w:hAnsi="Arial" w:eastAsia="Arial"/>
      <w:b w:val="0"/>
      <w:color w:val="111827"/>
      <w:sz w:val="14"/>
    </w:rPr>
  </w:style>
  <w:style w:type="paragraph" w:customStyle="1" w:styleId="V0Bullet">
    <w:name w:val="V0 Bullet"/>
    <w:basedOn w:val="Normal"/>
    <w:pPr>
      <w:spacing w:before="0" w:after="30" w:line="252" w:lineRule="auto"/>
    </w:pPr>
    <w:rPr>
      <w:rFonts w:ascii="Arial" w:hAnsi="Arial" w:eastAsia="Arial"/>
      <w:b w:val="0"/>
      <w:color w:val="111827"/>
      <w:sz w:val="16"/>
    </w:rPr>
  </w:style>
  <w:style w:type="paragraph" w:customStyle="1" w:styleId="V0Callout">
    <w:name w:val="V0 Callout"/>
    <w:basedOn w:val="Normal"/>
    <w:pPr>
      <w:spacing w:before="0" w:after="0" w:line="252" w:lineRule="auto"/>
    </w:pPr>
    <w:rPr>
      <w:rFonts w:ascii="Arial" w:hAnsi="Arial" w:eastAsia="Arial"/>
      <w:b w:val="0"/>
      <w:color w:val="071C41"/>
      <w:sz w:val="16"/>
    </w:rPr>
  </w:style>
</w:styles>
</file>

<file path=word/_rels/document.xml.rels><?xml version='1.0' encoding='UTF-8' standalone='yes'?>
<Relationships xmlns="http://schemas.openxmlformats.org/package/2006/relationships"><Relationship Id="rId20" Type="http://schemas.openxmlformats.org/officeDocument/2006/relationships/image" Target="media/image28.png"/><Relationship Id="rId22" Type="http://schemas.openxmlformats.org/officeDocument/2006/relationships/image" Target="media/image21.png"/><Relationship Id="rId21" Type="http://schemas.openxmlformats.org/officeDocument/2006/relationships/image" Target="media/image17.png"/><Relationship Id="rId24" Type="http://schemas.openxmlformats.org/officeDocument/2006/relationships/image" Target="media/image4.png"/><Relationship Id="rId23" Type="http://schemas.openxmlformats.org/officeDocument/2006/relationships/image" Target="media/image29.png"/><Relationship Id="rId1" Type="http://schemas.openxmlformats.org/officeDocument/2006/relationships/theme" Target="theme/theme1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19.png"/><Relationship Id="rId26" Type="http://schemas.openxmlformats.org/officeDocument/2006/relationships/image" Target="media/image9.png"/><Relationship Id="rId25" Type="http://schemas.openxmlformats.org/officeDocument/2006/relationships/image" Target="media/image3.png"/><Relationship Id="rId28" Type="http://schemas.openxmlformats.org/officeDocument/2006/relationships/image" Target="media/image25.png"/><Relationship Id="rId27" Type="http://schemas.openxmlformats.org/officeDocument/2006/relationships/image" Target="media/image12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29" Type="http://schemas.openxmlformats.org/officeDocument/2006/relationships/image" Target="media/image1.png"/><Relationship Id="rId7" Type="http://schemas.openxmlformats.org/officeDocument/2006/relationships/image" Target="media/image8.png"/><Relationship Id="rId8" Type="http://schemas.openxmlformats.org/officeDocument/2006/relationships/image" Target="media/image7.png"/><Relationship Id="rId31" Type="http://schemas.openxmlformats.org/officeDocument/2006/relationships/image" Target="media/image11.png"/><Relationship Id="rId30" Type="http://schemas.openxmlformats.org/officeDocument/2006/relationships/image" Target="media/image2.png"/><Relationship Id="rId11" Type="http://schemas.openxmlformats.org/officeDocument/2006/relationships/image" Target="media/image5.png"/><Relationship Id="rId33" Type="http://schemas.openxmlformats.org/officeDocument/2006/relationships/image" Target="media/image10.png"/><Relationship Id="rId10" Type="http://schemas.openxmlformats.org/officeDocument/2006/relationships/image" Target="media/image18.png"/><Relationship Id="rId32" Type="http://schemas.openxmlformats.org/officeDocument/2006/relationships/image" Target="media/image6.png"/><Relationship Id="rId13" Type="http://schemas.openxmlformats.org/officeDocument/2006/relationships/image" Target="media/image24.png"/><Relationship Id="rId35" Type="http://schemas.openxmlformats.org/officeDocument/2006/relationships/image" Target="media/image15.png"/><Relationship Id="rId12" Type="http://schemas.openxmlformats.org/officeDocument/2006/relationships/image" Target="media/image26.png"/><Relationship Id="rId34" Type="http://schemas.openxmlformats.org/officeDocument/2006/relationships/image" Target="media/image20.png"/><Relationship Id="rId15" Type="http://schemas.openxmlformats.org/officeDocument/2006/relationships/image" Target="media/image27.png"/><Relationship Id="rId14" Type="http://schemas.openxmlformats.org/officeDocument/2006/relationships/image" Target="media/image23.png"/><Relationship Id="rId17" Type="http://schemas.openxmlformats.org/officeDocument/2006/relationships/image" Target="media/image22.png"/><Relationship Id="rId16" Type="http://schemas.openxmlformats.org/officeDocument/2006/relationships/image" Target="media/image14.png"/><Relationship Id="rId19" Type="http://schemas.openxmlformats.org/officeDocument/2006/relationships/image" Target="media/image16.png"/><Relationship Id="rId18" Type="http://schemas.openxmlformats.org/officeDocument/2006/relationships/image" Target="media/image13.png"/><Relationship Id="rId36" Type="http://schemas.openxmlformats.org/officeDocument/2006/relationships/header" Target="header1.xml"/><Relationship Id="rId37" Type="http://schemas.openxmlformats.org/officeDocument/2006/relationships/footer" Target="footer1.xml"/><Relationship Id="rId38" Type="http://schemas.openxmlformats.org/officeDocument/2006/relationships/header" Target="header2.xml"/><Relationship Id="rId3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NeMo Curator Fuzzy Dedup Evaluation - V0 Technical Execution Flow</dc:title>
  <cp:lastModifiedBy/>
  <cp:revision>1</cp:revision>
  <dcterms:modified xsi:type="dcterms:W3CDTF">2026-08-11T18:20:41Z</dcterms:modified>
  <dc:subject>One-page technical presentation of the V0 execution workflow</dc:subject>
  <dc:creator/>
</cp:coreProperties>
</file>