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2E74B5"/>
          <w:sz w:val="20"/>
        </w:rPr>
        <w:t>OPERATIONAL PROPOSAL  |  VERSION 0</w:t>
      </w:r>
    </w:p>
    <w:p>
      <w:pPr>
        <w:spacing w:before="0" w:after="100"/>
        <w:keepNext/>
      </w:pPr>
      <w:r>
        <w:rPr>
          <w:rFonts w:ascii="Calibri" w:hAnsi="Calibri" w:eastAsia="Calibri"/>
          <w:b/>
          <w:color w:val="0B2545"/>
          <w:sz w:val="50"/>
        </w:rPr>
        <w:t>NeMo Curator Fuzzy Dedup Evaluation</w:t>
      </w:r>
    </w:p>
    <w:p>
      <w:pPr>
        <w:spacing w:after="300"/>
      </w:pPr>
      <w:r>
        <w:rPr>
          <w:rFonts w:ascii="Calibri" w:hAnsi="Calibri" w:eastAsia="Calibri"/>
          <w:color w:val="5B6573"/>
          <w:sz w:val="26"/>
        </w:rPr>
        <w:t>CC-MAIN-2025-26  •  1M-document pilot  •  End-to-end execution first</w:t>
      </w:r>
    </w:p>
    <w:p>
      <w:pPr>
        <w:spacing w:before="0" w:after="40" w:line="252" w:lineRule="auto"/>
      </w:pPr>
      <w:r>
        <w:rPr>
          <w:rFonts w:ascii="Calibri" w:hAnsi="Calibri" w:eastAsia="Calibri"/>
          <w:b/>
          <w:color w:val="1F4D78"/>
          <w:sz w:val="21"/>
        </w:rPr>
        <w:t xml:space="preserve">Objective: </w:t>
      </w:r>
      <w:r>
        <w:rPr>
          <w:rFonts w:ascii="Calibri" w:hAnsi="Calibri" w:eastAsia="Calibri"/>
          <w:color w:val="000000"/>
          <w:sz w:val="21"/>
        </w:rPr>
        <w:t>Complete a reproducible evaluation workflow; metric quality is not a V0 acceptance gate.</w:t>
      </w:r>
    </w:p>
    <w:p>
      <w:pPr>
        <w:spacing w:before="0" w:after="40" w:line="252" w:lineRule="auto"/>
      </w:pPr>
      <w:r>
        <w:rPr>
          <w:rFonts w:ascii="Calibri" w:hAnsi="Calibri" w:eastAsia="Calibri"/>
          <w:b/>
          <w:color w:val="1F4D78"/>
          <w:sz w:val="21"/>
        </w:rPr>
        <w:t xml:space="preserve">Upstream owner: </w:t>
      </w:r>
      <w:r>
        <w:rPr>
          <w:rFonts w:ascii="Calibri" w:hAnsi="Calibri" w:eastAsia="Calibri"/>
          <w:color w:val="000000"/>
          <w:sz w:val="21"/>
        </w:rPr>
        <w:t>Vibhu — corpus preparation and frozen fuzzy-dedup SUT run (Steps 1–2).</w:t>
      </w:r>
    </w:p>
    <w:p>
      <w:pPr>
        <w:spacing w:before="0" w:after="40" w:line="252" w:lineRule="auto"/>
      </w:pPr>
      <w:r>
        <w:rPr>
          <w:rFonts w:ascii="Calibri" w:hAnsi="Calibri" w:eastAsia="Calibri"/>
          <w:b/>
          <w:color w:val="1F4D78"/>
          <w:sz w:val="21"/>
        </w:rPr>
        <w:t xml:space="preserve">Evaluation owner: </w:t>
      </w:r>
      <w:r>
        <w:rPr>
          <w:rFonts w:ascii="Calibri" w:hAnsi="Calibri" w:eastAsia="Calibri"/>
          <w:color w:val="000000"/>
          <w:sz w:val="21"/>
        </w:rPr>
        <w:t>Hongsheng — recovery, sampling, candidate construction, judging, analysis, and report (Steps 3–10).</w:t>
      </w:r>
    </w:p>
    <w:p>
      <w:pPr>
        <w:spacing w:before="0" w:after="40" w:line="252" w:lineRule="auto"/>
      </w:pPr>
      <w:r>
        <w:rPr>
          <w:rFonts w:ascii="Calibri" w:hAnsi="Calibri" w:eastAsia="Calibri"/>
          <w:b/>
          <w:color w:val="1F4D78"/>
          <w:sz w:val="21"/>
        </w:rPr>
        <w:t xml:space="preserve">Proposal date: </w:t>
      </w:r>
      <w:r>
        <w:rPr>
          <w:rFonts w:ascii="Calibri" w:hAnsi="Calibri" w:eastAsia="Calibri"/>
          <w:color w:val="000000"/>
          <w:sz w:val="21"/>
        </w:rPr>
        <w:t>August 10, 2026</w:t>
      </w:r>
    </w:p>
    <w:p>
      <w:pPr>
        <w:spacing w:before="0" w:after="40" w:line="252" w:lineRule="auto"/>
      </w:pPr>
      <w:r>
        <w:rPr>
          <w:rFonts w:ascii="Calibri" w:hAnsi="Calibri" w:eastAsia="Calibri"/>
          <w:b/>
          <w:color w:val="1F4D78"/>
          <w:sz w:val="21"/>
        </w:rPr>
        <w:t xml:space="preserve">Status: </w:t>
      </w:r>
      <w:r>
        <w:rPr>
          <w:rFonts w:ascii="Calibri" w:hAnsi="Calibri" w:eastAsia="Calibri"/>
          <w:color w:val="000000"/>
          <w:sz w:val="21"/>
        </w:rPr>
        <w:t>Execution-ready working proposal; implementation-specific paths remain configuration values.</w:t>
      </w:r>
    </w:p>
    <w:p>
      <w:pPr>
        <w:spacing w:after="200"/>
        <w:pBdr>
          <w:bottom w:val="single" w:sz="12" w:space="6" w:color="2E74B5"/>
        </w:pBdr>
      </w:pPr>
    </w:p>
    <w:p>
      <w:pPr>
        <w:pStyle w:val="Callout"/>
        <w:shd w:fill="EAF2F8"/>
      </w:pPr>
      <w:r>
        <w:rPr>
          <w:rFonts w:ascii="Calibri" w:hAnsi="Calibri" w:eastAsia="Calibri"/>
          <w:b/>
          <w:color w:val="1F4D78"/>
          <w:sz w:val="21"/>
        </w:rPr>
        <w:t xml:space="preserve">V0 decision. </w:t>
      </w:r>
      <w:r>
        <w:rPr>
          <w:rFonts w:ascii="Calibri" w:hAnsi="Calibri" w:eastAsia="Calibri"/>
          <w:color w:val="0B2545"/>
          <w:sz w:val="21"/>
        </w:rPr>
        <w:t>The benchmark succeeds when every step runs on the 1M-document corpus, every selected pair is traceable to its source, every judgment is machine-valid and auditable, and the final report states its sampling limits. A high score, a stable production metric, or complete corpus recall is explicitly outside the V0 acceptance gate.</w:t>
      </w:r>
    </w:p>
    <w:p>
      <w:pPr>
        <w:pStyle w:val="Heading1"/>
      </w:pPr>
      <w:r>
        <w:t>1. Purpose and scope</w:t>
      </w:r>
    </w:p>
    <w:p>
      <w:r>
        <w:t>This proposal converts the current evaluation concept into an operational V0 that can be followed by a human engineer or executed by an AI coding agent without silently choosing missing parameters. It preserves the ten-step structure of the earlier NeMo Curator proposal, assigns explicit owners, and defines the required artifacts and validation gates between steps.</w:t>
      </w:r>
    </w:p>
    <w:p>
      <w:pPr>
        <w:pStyle w:val="Heading2"/>
        <w:jc w:val="left"/>
        <w:keepNext/>
      </w:pPr>
      <w:r>
        <w:t>In scope</w:t>
      </w:r>
    </w:p>
    <w:p>
      <w:pPr>
        <w:numPr>
          <w:ilvl w:val="0"/>
          <w:numId w:val="10"/>
        </w:numPr>
        <w:jc w:val="left"/>
      </w:pPr>
      <w:r>
        <w:t>A fixed 1M-document sample from CC-MAIN-2025-26 that has already undergone exact deduplication.</w:t>
      </w:r>
    </w:p>
    <w:p>
      <w:pPr>
        <w:numPr>
          <w:ilvl w:val="0"/>
          <w:numId w:val="10"/>
        </w:numPr>
        <w:jc w:val="left"/>
      </w:pPr>
      <w:r>
        <w:t>One frozen NeMo Curator fuzzy-deduplication configuration as the system under test (SUT).</w:t>
      </w:r>
    </w:p>
    <w:p>
      <w:pPr>
        <w:numPr>
          <w:ilvl w:val="0"/>
          <w:numId w:val="10"/>
        </w:numPr>
        <w:jc w:val="left"/>
      </w:pPr>
      <w:r>
        <w:t>Two candidate-pair tracks: removal safety (Step 5a) and cross-group missed-duplicate discovery (Step 5b).</w:t>
      </w:r>
    </w:p>
    <w:p>
      <w:pPr>
        <w:numPr>
          <w:ilvl w:val="0"/>
          <w:numId w:val="10"/>
        </w:numPr>
        <w:jc w:val="left"/>
      </w:pPr>
      <w:r>
        <w:t>A blind model judge with structured output, deterministic pair handling, limited human quality assurance, and automated reporting.</w:t>
      </w:r>
    </w:p>
    <w:p>
      <w:pPr>
        <w:numPr>
          <w:ilvl w:val="0"/>
          <w:numId w:val="10"/>
        </w:numPr>
        <w:jc w:val="left"/>
      </w:pPr>
      <w:r>
        <w:t>Operational and diagnostic metrics that accurately describe the sampled frames.</w:t>
      </w:r>
    </w:p>
    <w:p>
      <w:pPr>
        <w:pStyle w:val="Heading2"/>
        <w:jc w:val="left"/>
        <w:keepNext/>
      </w:pPr>
      <w:r>
        <w:t>Explicitly out of scope for V0</w:t>
      </w:r>
    </w:p>
    <w:p>
      <w:pPr>
        <w:numPr>
          <w:ilvl w:val="0"/>
          <w:numId w:val="10"/>
        </w:numPr>
        <w:jc w:val="left"/>
      </w:pPr>
      <w:r>
        <w:t>Corpus-wide recall, a definitive production quality score, or ranking multiple SUT configurations.</w:t>
      </w:r>
    </w:p>
    <w:p>
      <w:pPr>
        <w:numPr>
          <w:ilvl w:val="0"/>
          <w:numId w:val="10"/>
        </w:numPr>
        <w:jc w:val="left"/>
      </w:pPr>
      <w:r>
        <w:t>A complete document-pair ground truth or complete true clusters for the 1M-document corpus.</w:t>
      </w:r>
    </w:p>
    <w:p>
      <w:pPr>
        <w:numPr>
          <w:ilvl w:val="0"/>
          <w:numId w:val="10"/>
        </w:numPr>
        <w:jc w:val="left"/>
      </w:pPr>
      <w:r>
        <w:t>Re-running exact deduplication; the input corpus is already exact-deduplicated.</w:t>
      </w:r>
    </w:p>
    <w:p>
      <w:pPr>
        <w:numPr>
          <w:ilvl w:val="0"/>
          <w:numId w:val="10"/>
        </w:numPr>
        <w:jc w:val="left"/>
      </w:pPr>
      <w:r>
        <w:t>Standalone ExactSubstr, containment, BM25/TF-IDF, SimHash, URL/time, or alternative-parser retrieval.</w:t>
      </w:r>
    </w:p>
    <w:p>
      <w:pPr>
        <w:numPr>
          <w:ilvl w:val="0"/>
          <w:numId w:val="10"/>
        </w:numPr>
        <w:jc w:val="left"/>
      </w:pPr>
      <w:r>
        <w:t>Synthetic counterfactual generation, judge fine-tuning, or active-learning optimization.</w:t>
      </w:r>
    </w:p>
    <w:p>
      <w:pPr>
        <w:pStyle w:val="Heading2"/>
        <w:jc w:val="left"/>
        <w:keepNext/>
      </w:pPr>
      <w:r>
        <w:t>Non-negotiable execution rules</w:t>
      </w:r>
    </w:p>
    <w:p>
      <w:pPr>
        <w:numPr>
          <w:ilvl w:val="0"/>
          <w:numId w:val="10"/>
        </w:numPr>
        <w:jc w:val="left"/>
      </w:pPr>
      <w:r>
        <w:rPr>
          <w:b/>
        </w:rPr>
        <w:t>Freeze before running.</w:t>
      </w:r>
      <w:r>
        <w:t xml:space="preserve"> Dataset, SUT configuration, embedding model, parser/normalizer version, random seed, judge model, and prompt version must be written to the run manifest before pair generation.</w:t>
      </w:r>
    </w:p>
    <w:p>
      <w:pPr>
        <w:numPr>
          <w:ilvl w:val="0"/>
          <w:numId w:val="10"/>
        </w:numPr>
        <w:jc w:val="left"/>
      </w:pPr>
      <w:r>
        <w:rPr>
          <w:b/>
        </w:rPr>
        <w:t>No silent defaults.</w:t>
      </w:r>
      <w:r>
        <w:t xml:space="preserve"> A missing required field or failed join stops the pipeline. The implementation must emit a named validation error rather than guessing.</w:t>
      </w:r>
    </w:p>
    <w:p>
      <w:pPr>
        <w:numPr>
          <w:ilvl w:val="0"/>
          <w:numId w:val="10"/>
        </w:numPr>
        <w:jc w:val="left"/>
      </w:pPr>
      <w:r>
        <w:rPr>
          <w:b/>
        </w:rPr>
        <w:t>Judge once, retain every provenance.</w:t>
      </w:r>
      <w:r>
        <w:t xml:space="preserve"> Canonicalize selected pairs, send each unique pair to the judge once, and preserve all tracks, retrievers, ranks, scores, strata, and selection records.</w:t>
      </w:r>
    </w:p>
    <w:p>
      <w:pPr>
        <w:numPr>
          <w:ilvl w:val="0"/>
          <w:numId w:val="10"/>
        </w:numPr>
        <w:jc w:val="left"/>
      </w:pPr>
      <w:r>
        <w:rPr>
          <w:b/>
        </w:rPr>
        <w:t>Keep statistical frames separate.</w:t>
      </w:r>
      <w:r>
        <w:t xml:space="preserve"> Step 5a and Step 5b answer different questions. Their unweighted raw counts must not be combined into one headline confusion matrix.</w:t>
      </w:r>
    </w:p>
    <w:p>
      <w:pPr>
        <w:numPr>
          <w:ilvl w:val="0"/>
          <w:numId w:val="10"/>
        </w:numPr>
        <w:jc w:val="left"/>
      </w:pPr>
      <w:r>
        <w:rPr>
          <w:b/>
        </w:rPr>
        <w:t>Blind the judge.</w:t>
      </w:r>
      <w:r>
        <w:t xml:space="preserve"> The judge must not see predicted group IDs, KEEP/REMOVE actions, retriever names, retrieval scores, sampling weights, or track membership.</w:t>
      </w:r>
    </w:p>
    <w:p>
      <w:pPr>
        <w:pStyle w:val="Heading1"/>
      </w:pPr>
      <w:r>
        <w:t>2. Process at a glance</w:t>
      </w:r>
    </w:p>
    <w:tbl>
      <w:tblPr>
        <w:tblStyle w:val="TableGrid"/>
        <w:tblW w:type="dxa" w:w="9360"/>
        <w:tblLayout w:type="fixed"/>
        <w:tblLook w:firstColumn="1" w:firstRow="1" w:lastColumn="0" w:lastRow="0" w:noHBand="0" w:noVBand="1" w:val="04A0"/>
        <w:jc w:val="left"/>
        <w:tblInd w:w="120" w:type="dxa"/>
      </w:tblPr>
      <w:tblGrid>
        <w:gridCol w:w="650"/>
        <w:gridCol w:w="1250"/>
        <w:gridCol w:w="4760"/>
        <w:gridCol w:w="2700"/>
      </w:tblGrid>
      <w:tr>
        <w:trPr>
          <w:trHeight w:hRule="atLeast"/>
          <w:tblHeader w:val="true"/>
          <w:cantSplit w:val="true"/>
        </w:trPr>
        <w:tc>
          <w:tcPr>
            <w:tcW w:type="dxa" w:w="6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Step</w:t>
            </w:r>
          </w:p>
        </w:tc>
        <w:tc>
          <w:tcPr>
            <w:tcW w:type="dxa" w:w="12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Owner</w:t>
            </w:r>
          </w:p>
        </w:tc>
        <w:tc>
          <w:tcPr>
            <w:tcW w:type="dxa" w:w="47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Action</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Blocking output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Prepare and hand off the exact-deduplicated 1M corpus and embeddings.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Validated corpus manifest</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2</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Vibhu</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Run the frozen fuzzy-dedup SUT and retain groups, removal IDs, and cache artifacts.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SUT run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3</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Recover document-level predicted outcomes and logical KEEP/REMOVE decisions.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 outcome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4</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Select 1,000 reproducible anchors with group-aware stratification.</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Anchor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Sample 10K actual removal decisions; optionally reserve 500 minimum-diff risk pairs.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Removal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Retrieve up to 10K cross-group pairs using relaxed lexical and semantic channels.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Cross-group pair frame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6</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every unique selected pair with a blind, schema-constrained model prompt.</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Validated judge results</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7</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Build a partial judged constraint graph and surface label conflicts.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Partial reference graph</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8</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judgments to SUT predictions and classify pair outcomes by track.</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Comparison table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9</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Compute V0 operational, safety, and candidate-pool diagnostics.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Metrics bundle</w:t>
            </w:r>
          </w:p>
        </w:tc>
      </w:tr>
      <w:tr>
        <w:trPr>
          <w:cantSplit w:val="true"/>
          <w:trHeight w:hRule="atLeast"/>
        </w:trPr>
        <w:tc>
          <w:tcPr>
            <w:tcW w:type="dxa" w:w="6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10</w:t>
            </w:r>
          </w:p>
        </w:tc>
        <w:tc>
          <w:tcPr>
            <w:tcW w:type="dxa" w:w="125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Hongsheng</w:t>
            </w:r>
          </w:p>
        </w:tc>
        <w:tc>
          <w:tcPr>
            <w:tcW w:type="dxa" w:w="47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Publish the reproducible report, artifacts, limitations, and next-version backlog.</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Final V0 report</w:t>
            </w:r>
          </w:p>
        </w:tc>
      </w:tr>
    </w:tbl>
    <w:p>
      <w:pPr>
        <w:spacing w:after="0"/>
      </w:pPr>
    </w:p>
    <w:p>
      <w:pPr>
        <w:pStyle w:val="Callout"/>
        <w:shd w:fill="FFF7E0"/>
      </w:pPr>
      <w:r>
        <w:rPr>
          <w:rFonts w:ascii="Calibri" w:hAnsi="Calibri" w:eastAsia="Calibri"/>
          <w:b/>
          <w:color w:val="7A5A00"/>
          <w:sz w:val="21"/>
        </w:rPr>
        <w:t xml:space="preserve">Handoff rule. </w:t>
      </w:r>
      <w:r>
        <w:rPr>
          <w:rFonts w:ascii="Calibri" w:hAnsi="Calibri" w:eastAsia="Calibri"/>
          <w:color w:val="0B2545"/>
          <w:sz w:val="21"/>
        </w:rPr>
        <w:t>Step 3 starts only after Hongsheng can read the Step 1 corpus manifest and Step 2 SUT manifest, and all Step 1–2 validation checks pass. A path to files without manifests is not a valid handoff.</w:t>
      </w:r>
    </w:p>
    <w:p>
      <w:pPr>
        <w:pStyle w:val="Heading1"/>
        <w:keepNext/>
      </w:pPr>
      <w:r>
        <w:t>Step 1 — Prepare and Hand Off the V0 Corpus</w:t>
      </w:r>
    </w:p>
    <w:p>
      <w:pPr>
        <w:pStyle w:val="StepMetadata"/>
        <w:keepNext/>
      </w:pPr>
      <w:r>
        <w:rPr>
          <w:b/>
        </w:rPr>
        <w:t xml:space="preserve">OWNER  </w:t>
      </w:r>
      <w:r>
        <w:t>Vibhu</w:t>
      </w:r>
      <w:r>
        <w:t xml:space="preserve">     |     </w:t>
      </w:r>
      <w:r>
        <w:rPr>
          <w:b/>
        </w:rPr>
        <w:t xml:space="preserve">GATE  </w:t>
      </w:r>
      <w:r>
        <w:t>BLOCKING — required before any evaluation code runs</w:t>
      </w:r>
    </w:p>
    <w:p>
      <w:pPr>
        <w:pStyle w:val="Heading2"/>
        <w:jc w:val="left"/>
        <w:keepNext/>
      </w:pPr>
      <w:r>
        <w:t>Goal</w:t>
      </w:r>
    </w:p>
    <w:p>
      <w:r>
        <w:t>Deliver one stable, exact-deduplicated 1M-document evaluation corpus, its document embeddings, and enough metadata to reproduce joins, slices, and retrieval. Step 1 defines the evaluated population; later steps must not silently add or remove documents.</w:t>
      </w:r>
    </w:p>
    <w:p>
      <w:pPr>
        <w:pStyle w:val="Heading2"/>
        <w:jc w:val="left"/>
        <w:keepNext/>
      </w:pPr>
      <w:r>
        <w:t>Inputs</w:t>
      </w:r>
    </w:p>
    <w:p>
      <w:pPr>
        <w:numPr>
          <w:ilvl w:val="0"/>
          <w:numId w:val="10"/>
        </w:numPr>
        <w:jc w:val="left"/>
      </w:pPr>
      <w:r>
        <w:t>CC-MAIN-2025-26 source data and the extraction output used by the current NeMo Curator experiment.</w:t>
      </w:r>
    </w:p>
    <w:p>
      <w:pPr>
        <w:numPr>
          <w:ilvl w:val="0"/>
          <w:numId w:val="10"/>
        </w:numPr>
        <w:jc w:val="left"/>
      </w:pPr>
      <w:r>
        <w:t>The already-completed exact-deduplication result and its configuration/version.</w:t>
      </w:r>
    </w:p>
    <w:p>
      <w:pPr>
        <w:numPr>
          <w:ilvl w:val="0"/>
          <w:numId w:val="10"/>
        </w:numPr>
        <w:jc w:val="left"/>
      </w:pPr>
      <w:r>
        <w:t>The cleaned text, stable identifiers, crawl metadata, and precomputed document embeddings described below.</w:t>
      </w:r>
    </w:p>
    <w:p>
      <w:pPr>
        <w:pStyle w:val="Heading2"/>
        <w:jc w:val="left"/>
        <w:keepNext/>
      </w:pPr>
      <w:r>
        <w:t>Required procedure</w:t>
      </w:r>
    </w:p>
    <w:p>
      <w:pPr>
        <w:numPr>
          <w:ilvl w:val="0"/>
          <w:numId w:val="12"/>
        </w:numPr>
        <w:jc w:val="left"/>
      </w:pPr>
      <w:r>
        <w:t>Select exactly 1,000,000 documents using a deterministic rule. Record the source population, filtering logic, seed (if random sampling is used), and the ordered list or checksum of selected document IDs.</w:t>
      </w:r>
    </w:p>
    <w:p>
      <w:pPr>
        <w:numPr>
          <w:ilvl w:val="0"/>
          <w:numId w:val="12"/>
        </w:numPr>
        <w:jc w:val="left"/>
      </w:pPr>
      <w:r>
        <w:t>Assign or verify one stable, unique doc_id per document. The same doc_id must be used in corpus rows, embeddings, fuzzy-dedup cache outputs, removal IDs, and all downstream tables.</w:t>
      </w:r>
    </w:p>
    <w:p>
      <w:pPr>
        <w:numPr>
          <w:ilvl w:val="0"/>
          <w:numId w:val="12"/>
        </w:numPr>
        <w:jc w:val="left"/>
      </w:pPr>
      <w:r>
        <w:t>Confirm that exact deduplication was applied before this handoff. Record exact_dedup_version and exact_dedup_config; do not re-run exact deduplication in V0.</w:t>
      </w:r>
    </w:p>
    <w:p>
      <w:pPr>
        <w:numPr>
          <w:ilvl w:val="0"/>
          <w:numId w:val="12"/>
        </w:numPr>
        <w:jc w:val="left"/>
      </w:pPr>
      <w:r>
        <w:t>Write the document data as Parquet. Do not truncate text for storage. Keep the cleaned text sent to fuzzy dedup and the metadata needed for judging and slices.</w:t>
      </w:r>
    </w:p>
    <w:p>
      <w:pPr>
        <w:numPr>
          <w:ilvl w:val="0"/>
          <w:numId w:val="12"/>
        </w:numPr>
        <w:jc w:val="left"/>
      </w:pPr>
      <w:r>
        <w:t>Provide one embedding row per doc_id. Record embedding_model, model revision, embedding dimension, pooling method or mode, normalization state, and file format.</w:t>
      </w:r>
    </w:p>
    <w:p>
      <w:pPr>
        <w:numPr>
          <w:ilvl w:val="0"/>
          <w:numId w:val="12"/>
        </w:numPr>
        <w:jc w:val="left"/>
      </w:pPr>
      <w:r>
        <w:t>Create corpus_manifest.json containing dataset version, row count, schema version, extraction/normalization version, exact-dedup version, embedding metadata, file checksums, and creation timestamp.</w:t>
      </w:r>
    </w:p>
    <w:p>
      <w:pPr>
        <w:pStyle w:val="Heading2"/>
        <w:jc w:val="left"/>
        <w:keepNext/>
      </w:pPr>
      <w:r>
        <w:t>Required document fields</w:t>
      </w:r>
    </w:p>
    <w:tbl>
      <w:tblPr>
        <w:tblStyle w:val="TableGrid"/>
        <w:tblW w:type="dxa" w:w="9360"/>
        <w:tblLayout w:type="fixed"/>
        <w:tblLook w:firstColumn="1" w:firstRow="1" w:lastColumn="0" w:lastRow="0" w:noHBand="0" w:noVBand="1" w:val="04A0"/>
        <w:jc w:val="left"/>
        <w:tblInd w:w="120" w:type="dxa"/>
      </w:tblPr>
      <w:tblGrid>
        <w:gridCol w:w="2200"/>
        <w:gridCol w:w="1900"/>
        <w:gridCol w:w="52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9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doc_id</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unique ID; no nulls or duplicates.</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text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Full cleaned text used by the SUT.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url</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Original page URL; retain null rather than inventing a value.</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warc_id</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source-record identifier.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crawl_timestamp</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 if available</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Original crawl time in UTC ISO-8601.</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language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Language code plus detector/version if inferred.</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source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Recommended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Stable source or collection identifier.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char_count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Unicode character count of text.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token_count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Count under the tokenizer named in the manifest.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normalization_version</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Identifier for extraction and text normalization.</w:t>
            </w:r>
          </w:p>
        </w:tc>
      </w:tr>
    </w:tbl>
    <w:p>
      <w:pPr>
        <w:spacing w:after="0"/>
      </w:pPr>
    </w:p>
    <w:p>
      <w:pPr>
        <w:pStyle w:val="Heading2"/>
        <w:jc w:val="left"/>
        <w:keepNext/>
      </w:pPr>
      <w:r>
        <w:t>Outputs</w:t>
      </w:r>
    </w:p>
    <w:p>
      <w:pPr>
        <w:numPr>
          <w:ilvl w:val="0"/>
          <w:numId w:val="10"/>
        </w:numPr>
        <w:jc w:val="left"/>
      </w:pPr>
      <w:r>
        <w:t>documents.parquet — exactly 1,000,000 rows and the required fields above.</w:t>
      </w:r>
    </w:p>
    <w:p>
      <w:pPr>
        <w:numPr>
          <w:ilvl w:val="0"/>
          <w:numId w:val="10"/>
        </w:numPr>
        <w:jc w:val="left"/>
      </w:pPr>
      <w:r>
        <w:t>embeddings plus an explicit doc_id-to-row mapping; sharded storage is allowed.</w:t>
      </w:r>
    </w:p>
    <w:p>
      <w:pPr>
        <w:numPr>
          <w:ilvl w:val="0"/>
          <w:numId w:val="10"/>
        </w:numPr>
        <w:jc w:val="left"/>
      </w:pPr>
      <w:r>
        <w:t>corpus_manifest.json and checksums for every delivered shard.</w:t>
      </w:r>
    </w:p>
    <w:p>
      <w:pPr>
        <w:pStyle w:val="Heading2"/>
        <w:jc w:val="left"/>
        <w:keepNext/>
      </w:pPr>
      <w:r>
        <w:t>Validation and done criteria</w:t>
      </w:r>
    </w:p>
    <w:p>
      <w:pPr>
        <w:numPr>
          <w:ilvl w:val="0"/>
          <w:numId w:val="10"/>
        </w:numPr>
        <w:jc w:val="left"/>
      </w:pPr>
      <w:r>
        <w:t>row_count == 1,000,000; doc_id null count == 0; distinct(doc_id) == 1,000,000.</w:t>
      </w:r>
    </w:p>
    <w:p>
      <w:pPr>
        <w:numPr>
          <w:ilvl w:val="0"/>
          <w:numId w:val="10"/>
        </w:numPr>
        <w:jc w:val="left"/>
      </w:pPr>
      <w:r>
        <w:t>Every embedding row maps to exactly one corpus doc_id and every corpus doc_id has exactly one embedding.</w:t>
      </w:r>
    </w:p>
    <w:p>
      <w:pPr>
        <w:numPr>
          <w:ilvl w:val="0"/>
          <w:numId w:val="10"/>
        </w:numPr>
        <w:jc w:val="left"/>
      </w:pPr>
      <w:r>
        <w:t>text is non-null; empty-text rows are counted and either removed before freezing the corpus or explicitly retained with a documented reason.</w:t>
      </w:r>
    </w:p>
    <w:p>
      <w:pPr>
        <w:numPr>
          <w:ilvl w:val="0"/>
          <w:numId w:val="10"/>
        </w:numPr>
        <w:jc w:val="left"/>
      </w:pPr>
      <w:r>
        <w:t>File checksums match the manifest after handoff. Hongsheng can reproduce all validation counts independently.</w:t>
      </w:r>
    </w:p>
    <w:p>
      <w:pPr>
        <w:pStyle w:val="Heading1"/>
        <w:keepNext/>
      </w:pPr>
      <w:r>
        <w:t>Step 2 — Run the Frozen Fuzzy-Dedup System Under Test</w:t>
      </w:r>
    </w:p>
    <w:p>
      <w:pPr>
        <w:pStyle w:val="StepMetadata"/>
        <w:keepNext/>
      </w:pPr>
      <w:r>
        <w:rPr>
          <w:b/>
        </w:rPr>
        <w:t xml:space="preserve">OWNER  </w:t>
      </w:r>
      <w:r>
        <w:t>Vibhu</w:t>
      </w:r>
      <w:r>
        <w:t xml:space="preserve">     |     </w:t>
      </w:r>
      <w:r>
        <w:rPr>
          <w:b/>
        </w:rPr>
        <w:t xml:space="preserve">GATE  </w:t>
      </w:r>
      <w:r>
        <w:t>BLOCKING — produces the predictions being evaluated</w:t>
      </w:r>
    </w:p>
    <w:p>
      <w:pPr>
        <w:pStyle w:val="Heading2"/>
        <w:jc w:val="left"/>
        <w:keepNext/>
      </w:pPr>
      <w:r>
        <w:t>Goal</w:t>
      </w:r>
    </w:p>
    <w:p>
      <w:r>
        <w:t>Run one fixed NeMo Curator FuzzyDeduplicationWorkflow configuration over the exact Step 1 corpus while preserving all documents and the intermediate artifacts needed to recover predicted groups and removal decisions.</w:t>
      </w:r>
    </w:p>
    <w:p>
      <w:pPr>
        <w:pStyle w:val="Heading2"/>
        <w:jc w:val="left"/>
        <w:keepNext/>
      </w:pPr>
      <w:r>
        <w:t>Inputs</w:t>
      </w:r>
    </w:p>
    <w:p>
      <w:pPr>
        <w:numPr>
          <w:ilvl w:val="0"/>
          <w:numId w:val="10"/>
        </w:numPr>
        <w:jc w:val="left"/>
      </w:pPr>
      <w:r>
        <w:t>The validated Step 1 documents and corpus_manifest.json.</w:t>
      </w:r>
    </w:p>
    <w:p>
      <w:pPr>
        <w:numPr>
          <w:ilvl w:val="0"/>
          <w:numId w:val="10"/>
        </w:numPr>
        <w:jc w:val="left"/>
      </w:pPr>
      <w:r>
        <w:t>One frozen SUT configuration: code/container version, text field, character n-gram definition, MinHash/LSH parameters, seed, and execution settings.</w:t>
      </w:r>
    </w:p>
    <w:p>
      <w:pPr>
        <w:numPr>
          <w:ilvl w:val="0"/>
          <w:numId w:val="10"/>
        </w:numPr>
        <w:jc w:val="left"/>
      </w:pPr>
      <w:r>
        <w:t>The production-equivalent duplicate-selection/removal policy used to decide which member of a component is retained.</w:t>
      </w:r>
    </w:p>
    <w:p>
      <w:pPr>
        <w:pStyle w:val="Heading2"/>
        <w:jc w:val="left"/>
        <w:keepNext/>
      </w:pPr>
      <w:r>
        <w:t>Required procedure</w:t>
      </w:r>
    </w:p>
    <w:p>
      <w:pPr>
        <w:numPr>
          <w:ilvl w:val="0"/>
          <w:numId w:val="13"/>
        </w:numPr>
        <w:jc w:val="left"/>
      </w:pPr>
      <w:r>
        <w:t>Create sut_run_manifest.json before execution. Assign one run_id and store the full method configuration, dataset checksum, code or container version, seed, and normalization_version.</w:t>
      </w:r>
    </w:p>
    <w:p>
      <w:pPr>
        <w:numPr>
          <w:ilvl w:val="0"/>
          <w:numId w:val="13"/>
        </w:numPr>
        <w:jc w:val="left"/>
      </w:pPr>
      <w:r>
        <w:t>Run fuzzy duplicate identification with physical removal disabled so that the evaluation corpus remains intact.</w:t>
      </w:r>
    </w:p>
    <w:p>
      <w:pPr>
        <w:numPr>
          <w:ilvl w:val="0"/>
          <w:numId w:val="13"/>
        </w:numPr>
        <w:jc w:val="left"/>
      </w:pPr>
      <w:r>
        <w:t>Retain the ConnectedComponents output, duplicate/removal ID output, and the cached MinHash, LSH, and BucketsToEdges artifacts when available. Do not keep only the final removed-ID list.</w:t>
      </w:r>
    </w:p>
    <w:p>
      <w:pPr>
        <w:numPr>
          <w:ilvl w:val="0"/>
          <w:numId w:val="13"/>
        </w:numPr>
        <w:jc w:val="left"/>
      </w:pPr>
      <w:r>
        <w:t>Verify that all output IDs use the Step 1 doc_id mapping. If NeMo Curator generated internal IDs, export the complete reversible mapping.</w:t>
      </w:r>
    </w:p>
    <w:p>
      <w:pPr>
        <w:numPr>
          <w:ilvl w:val="0"/>
          <w:numId w:val="13"/>
        </w:numPr>
        <w:jc w:val="left"/>
      </w:pPr>
      <w:r>
        <w:t>Record runtime, hardware, partition counts, warnings, failed tasks, and output checksums in the run manifest.</w:t>
      </w:r>
    </w:p>
    <w:p>
      <w:pPr>
        <w:pStyle w:val="Heading2"/>
        <w:jc w:val="left"/>
        <w:keepNext/>
      </w:pPr>
      <w:r>
        <w:t>Outputs</w:t>
      </w:r>
    </w:p>
    <w:p>
      <w:pPr>
        <w:numPr>
          <w:ilvl w:val="0"/>
          <w:numId w:val="10"/>
        </w:numPr>
        <w:jc w:val="left"/>
      </w:pPr>
      <w:r>
        <w:t>sut_run_manifest.json with one immutable run_id.</w:t>
      </w:r>
    </w:p>
    <w:p>
      <w:pPr>
        <w:numPr>
          <w:ilvl w:val="0"/>
          <w:numId w:val="10"/>
        </w:numPr>
        <w:jc w:val="left"/>
      </w:pPr>
      <w:r>
        <w:t>Connected-components rows linking member doc_id to predicted group ID.</w:t>
      </w:r>
    </w:p>
    <w:p>
      <w:pPr>
        <w:numPr>
          <w:ilvl w:val="0"/>
          <w:numId w:val="10"/>
        </w:numPr>
        <w:jc w:val="left"/>
      </w:pPr>
      <w:r>
        <w:t>Duplicate/removal IDs or equivalent output from the configured keeper policy.</w:t>
      </w:r>
    </w:p>
    <w:p>
      <w:pPr>
        <w:numPr>
          <w:ilvl w:val="0"/>
          <w:numId w:val="10"/>
        </w:numPr>
        <w:jc w:val="left"/>
      </w:pPr>
      <w:r>
        <w:t>Accepted candidate-edge artifact from BucketsToEdges when available; V0 stores it for diagnostics but does not require graph-risk sampling.</w:t>
      </w:r>
    </w:p>
    <w:p>
      <w:pPr>
        <w:numPr>
          <w:ilvl w:val="0"/>
          <w:numId w:val="10"/>
        </w:numPr>
        <w:jc w:val="left"/>
      </w:pPr>
      <w:r>
        <w:t>Execution logs and checksums.</w:t>
      </w:r>
    </w:p>
    <w:p>
      <w:pPr>
        <w:pStyle w:val="Heading2"/>
        <w:jc w:val="left"/>
        <w:keepNext/>
      </w:pPr>
      <w:r>
        <w:t>Validation and done criteria</w:t>
      </w:r>
    </w:p>
    <w:p>
      <w:pPr>
        <w:numPr>
          <w:ilvl w:val="0"/>
          <w:numId w:val="10"/>
        </w:numPr>
        <w:jc w:val="left"/>
      </w:pPr>
      <w:r>
        <w:t>The SUT manifest references the exact Step 1 corpus checksum and one frozen configuration.</w:t>
      </w:r>
    </w:p>
    <w:p>
      <w:pPr>
        <w:numPr>
          <w:ilvl w:val="0"/>
          <w:numId w:val="10"/>
        </w:numPr>
        <w:jc w:val="left"/>
      </w:pPr>
      <w:r>
        <w:t>Every ID in groups, removal outputs, and retained edges resolves to exactly one Step 1 doc_id.</w:t>
      </w:r>
    </w:p>
    <w:p>
      <w:pPr>
        <w:numPr>
          <w:ilvl w:val="0"/>
          <w:numId w:val="10"/>
        </w:numPr>
        <w:jc w:val="left"/>
      </w:pPr>
      <w:r>
        <w:t>No document was physically deleted from the evaluation corpus.</w:t>
      </w:r>
    </w:p>
    <w:p>
      <w:pPr>
        <w:numPr>
          <w:ilvl w:val="0"/>
          <w:numId w:val="10"/>
        </w:numPr>
        <w:jc w:val="left"/>
      </w:pPr>
      <w:r>
        <w:t>The run completed without unhandled failed partitions. Any tolerated warning is enumerated in the manifest.</w:t>
      </w:r>
    </w:p>
    <w:p>
      <w:pPr>
        <w:pStyle w:val="Heading1"/>
        <w:keepNext/>
      </w:pPr>
      <w:r>
        <w:t>Step 3 — Recover Predicted Groups and Removal Decisions</w:t>
      </w:r>
    </w:p>
    <w:p>
      <w:pPr>
        <w:pStyle w:val="StepMetadata"/>
        <w:keepNext/>
      </w:pPr>
      <w:r>
        <w:rPr>
          <w:b/>
        </w:rPr>
        <w:t xml:space="preserve">OWNER  </w:t>
      </w:r>
      <w:r>
        <w:t>Hongsheng</w:t>
      </w:r>
      <w:r>
        <w:t xml:space="preserve">     |     </w:t>
      </w:r>
      <w:r>
        <w:rPr>
          <w:b/>
        </w:rPr>
        <w:t xml:space="preserve">GATE  </w:t>
      </w:r>
      <w:r>
        <w:t>BLOCKING — creates the authoritative SUT outcome table</w:t>
      </w:r>
    </w:p>
    <w:p>
      <w:pPr>
        <w:pStyle w:val="Heading2"/>
        <w:jc w:val="left"/>
        <w:keepNext/>
      </w:pPr>
      <w:r>
        <w:t>Goal</w:t>
      </w:r>
    </w:p>
    <w:p>
      <w:r>
        <w:t>Convert the Step 2 artifacts into one explicit row per corpus document. This prevents downstream code from treating all -1 labels as one group and makes actual KEEP/REMOVE decisions auditable.</w:t>
      </w:r>
    </w:p>
    <w:p>
      <w:pPr>
        <w:pStyle w:val="Heading2"/>
        <w:jc w:val="left"/>
        <w:keepNext/>
      </w:pPr>
      <w:r>
        <w:t>Required procedure</w:t>
      </w:r>
    </w:p>
    <w:p>
      <w:pPr>
        <w:numPr>
          <w:ilvl w:val="0"/>
          <w:numId w:val="14"/>
        </w:numPr>
        <w:jc w:val="left"/>
      </w:pPr>
      <w:r>
        <w:t>Left-join all 1M Step 1 documents to the connected-components membership output by doc_id.</w:t>
      </w:r>
    </w:p>
    <w:p>
      <w:pPr>
        <w:numPr>
          <w:ilvl w:val="0"/>
          <w:numId w:val="14"/>
        </w:numPr>
        <w:jc w:val="left"/>
      </w:pPr>
      <w:r>
        <w:t>For a document present in a predicted component, set predicted_group_id to the component ID. For a missing document, set predicted_group_id = -1 and predicted_cluster_key = 'singleton:' + doc_id.</w:t>
      </w:r>
    </w:p>
    <w:p>
      <w:pPr>
        <w:numPr>
          <w:ilvl w:val="0"/>
          <w:numId w:val="14"/>
        </w:numPr>
        <w:jc w:val="left"/>
      </w:pPr>
      <w:r>
        <w:t>For grouped documents, set predicted_cluster_key = 'group:' + run_id + ':' + predicted_group_id. Use predicted_cluster_key, not raw predicted_group_id equality, in all same-group tests.</w:t>
      </w:r>
    </w:p>
    <w:p>
      <w:pPr>
        <w:numPr>
          <w:ilvl w:val="0"/>
          <w:numId w:val="14"/>
        </w:numPr>
        <w:jc w:val="left"/>
      </w:pPr>
      <w:r>
        <w:t>Join the duplicate/removal ID output. Set action = REMOVE when doc_id is marked for removal; otherwise set action = KEEP.</w:t>
      </w:r>
    </w:p>
    <w:p>
      <w:pPr>
        <w:numPr>
          <w:ilvl w:val="0"/>
          <w:numId w:val="14"/>
        </w:numPr>
        <w:jc w:val="left"/>
      </w:pPr>
      <w:r>
        <w:t>Within every non-singleton predicted group, identify the actual retained representative under the Step 2 policy and populate final_keeper_id for every member. A keeper points to itself.</w:t>
      </w:r>
    </w:p>
    <w:p>
      <w:pPr>
        <w:numPr>
          <w:ilvl w:val="0"/>
          <w:numId w:val="14"/>
        </w:numPr>
        <w:jc w:val="left"/>
      </w:pPr>
      <w:r>
        <w:t>Validate group consistency. A V0 group must have exactly one final keeper unless the configured policy explicitly documents otherwise. Zero or ambiguous keepers stop the pipeline.</w:t>
      </w:r>
    </w:p>
    <w:p>
      <w:pPr>
        <w:numPr>
          <w:ilvl w:val="0"/>
          <w:numId w:val="14"/>
        </w:numPr>
        <w:jc w:val="left"/>
      </w:pPr>
      <w:r>
        <w:t>Compute predicted_group_size and document-length buckets: short &lt;= 500 tokens, medium 501–2,000, and long &gt; 2,000. Record these thresholds in the run manifest.</w:t>
      </w:r>
    </w:p>
    <w:p>
      <w:pPr>
        <w:numPr>
          <w:ilvl w:val="0"/>
          <w:numId w:val="14"/>
        </w:numPr>
        <w:jc w:val="left"/>
      </w:pPr>
      <w:r>
        <w:t>Compute hostname and canonical_url_v0 from url when present. For V0: lowercase the scheme and hostname, remove a default port and URL fragment, preserve the path and query exactly, and leave missing or unparsable URLs null. This conservative value is a reporting feature, not a duplicate label or retrieval rule.</w:t>
      </w:r>
    </w:p>
    <w:p>
      <w:pPr>
        <w:pStyle w:val="CodeBlock"/>
        <w:shd w:fill="F1F3F5"/>
      </w:pPr>
      <w:r>
        <w:rPr>
          <w:rFonts w:ascii="Menlo" w:hAnsi="Menlo" w:eastAsia="Menlo"/>
          <w:color w:val="0B2545"/>
          <w:sz w:val="17"/>
        </w:rPr>
        <w:t>same_predicted_group(i, j) =</w:t>
      </w:r>
      <w:r>
        <w:br/>
      </w:r>
      <w:r>
        <w:rPr>
          <w:rFonts w:ascii="Menlo" w:hAnsi="Menlo" w:eastAsia="Menlo"/>
          <w:color w:val="0B2545"/>
          <w:sz w:val="17"/>
        </w:rPr>
        <w:t xml:space="preserve">    predicted_cluster_key_i == predicted_cluster_key_j</w:t>
      </w:r>
      <w:r>
        <w:br/>
      </w:r>
      <w:r>
        <w:rPr>
          <w:rFonts w:ascii="Menlo" w:hAnsi="Menlo" w:eastAsia="Menlo"/>
          <w:color w:val="0B2545"/>
          <w:sz w:val="17"/>
        </w:rPr>
      </w:r>
      <w:r>
        <w:br/>
      </w:r>
      <w:r>
        <w:rPr>
          <w:rFonts w:ascii="Menlo" w:hAnsi="Menlo" w:eastAsia="Menlo"/>
          <w:color w:val="0B2545"/>
          <w:sz w:val="17"/>
        </w:rPr>
        <w:t># Two documents with predicted_group_id = -1 have different singleton keys.</w:t>
      </w:r>
      <w:r>
        <w:br/>
      </w:r>
      <w:r>
        <w:rPr>
          <w:rFonts w:ascii="Menlo" w:hAnsi="Menlo" w:eastAsia="Menlo"/>
          <w:color w:val="0B2545"/>
          <w:sz w:val="17"/>
        </w:rPr>
        <w:t># They are not in the same predicted group.</w:t>
      </w:r>
    </w:p>
    <w:p>
      <w:pPr>
        <w:pStyle w:val="Heading2"/>
        <w:jc w:val="left"/>
        <w:keepNext/>
      </w:pPr>
      <w:r>
        <w:t>Output: document_outcomes.parquet</w:t>
      </w:r>
    </w:p>
    <w:tbl>
      <w:tblPr>
        <w:tblStyle w:val="TableGrid"/>
        <w:tblW w:type="dxa" w:w="9360"/>
        <w:tblLayout w:type="fixed"/>
        <w:tblLook w:firstColumn="1" w:firstRow="1" w:lastColumn="0" w:lastRow="0" w:noHBand="0" w:noVBand="1" w:val="04A0"/>
        <w:jc w:val="left"/>
        <w:tblInd w:w="120" w:type="dxa"/>
      </w:tblPr>
      <w:tblGrid>
        <w:gridCol w:w="2350"/>
        <w:gridCol w:w="1800"/>
        <w:gridCol w:w="5210"/>
      </w:tblGrid>
      <w:tr>
        <w:trPr>
          <w:trHeight w:hRule="atLeast"/>
          <w:tblHeader w:val="true"/>
          <w:cantSplit w:val="true"/>
        </w:trPr>
        <w:tc>
          <w:tcPr>
            <w:tcW w:type="dxa" w:w="235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Requirement</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run_id, doc_id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Composite primary key.</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Raw SUT component ID or -1.</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predicted_cluster_key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Unique logical cluster key; singleton keys include doc_id.</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predicted_group_size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 for singletons; component size otherwise.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action</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KEEP or REMOVE.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final_keeper_id</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Retained representative; self for keepers/singletons.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length_bucket</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Required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short, medium, or long under frozen thresholds.</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hostname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Lowercased parsed hostname.</w:t>
            </w:r>
          </w:p>
        </w:tc>
      </w:tr>
      <w:tr>
        <w:trPr>
          <w:cantSplit w:val="true"/>
          <w:trHeight w:hRule="atLeast"/>
        </w:trPr>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canonical_url_v0</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When URL exists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Conservative normalized URL for reporting slices only.</w:t>
            </w:r>
          </w:p>
        </w:tc>
      </w:tr>
    </w:tbl>
    <w:p>
      <w:pPr>
        <w:spacing w:after="0"/>
      </w:pPr>
    </w:p>
    <w:p>
      <w:pPr>
        <w:pStyle w:val="Heading2"/>
        <w:jc w:val="left"/>
        <w:keepNext/>
      </w:pPr>
      <w:r>
        <w:t>Validation and done criteria</w:t>
      </w:r>
    </w:p>
    <w:p>
      <w:pPr>
        <w:numPr>
          <w:ilvl w:val="0"/>
          <w:numId w:val="10"/>
        </w:numPr>
        <w:jc w:val="left"/>
      </w:pPr>
      <w:r>
        <w:t>Exactly 1,000,000 rows and one row per Step 1 doc_id.</w:t>
      </w:r>
    </w:p>
    <w:p>
      <w:pPr>
        <w:numPr>
          <w:ilvl w:val="0"/>
          <w:numId w:val="10"/>
        </w:numPr>
        <w:jc w:val="left"/>
      </w:pPr>
      <w:r>
        <w:t>Every final_keeper_id exists in the same predicted_cluster_key and has action = KEEP.</w:t>
      </w:r>
    </w:p>
    <w:p>
      <w:pPr>
        <w:numPr>
          <w:ilvl w:val="0"/>
          <w:numId w:val="10"/>
        </w:numPr>
        <w:jc w:val="left"/>
      </w:pPr>
      <w:r>
        <w:t>Every singleton has action = KEEP, final_keeper_id = doc_id, and predicted_group_size = 1.</w:t>
      </w:r>
    </w:p>
    <w:p>
      <w:pPr>
        <w:numPr>
          <w:ilvl w:val="0"/>
          <w:numId w:val="10"/>
        </w:numPr>
        <w:jc w:val="left"/>
      </w:pPr>
      <w:r>
        <w:t>Counts of removed IDs reconcile exactly with the Step 2 output.</w:t>
      </w:r>
    </w:p>
    <w:p>
      <w:pPr>
        <w:numPr>
          <w:ilvl w:val="0"/>
          <w:numId w:val="10"/>
        </w:numPr>
        <w:jc w:val="left"/>
      </w:pPr>
      <w:r>
        <w:t>URL parsing success, null, and failure counts are recorded; parsing failure does not drop a document.</w:t>
      </w:r>
    </w:p>
    <w:p>
      <w:pPr>
        <w:pStyle w:val="Heading1"/>
        <w:keepNext/>
      </w:pPr>
      <w:r>
        <w:t>Step 4 — Sample 1,000 Anchor Documents</w:t>
      </w:r>
    </w:p>
    <w:p>
      <w:pPr>
        <w:pStyle w:val="StepMetadata"/>
        <w:keepNext/>
      </w:pPr>
      <w:r>
        <w:rPr>
          <w:b/>
        </w:rPr>
        <w:t xml:space="preserve">OWNER  </w:t>
      </w:r>
      <w:r>
        <w:t>Hongsheng</w:t>
      </w:r>
      <w:r>
        <w:t xml:space="preserve">     |     </w:t>
      </w:r>
      <w:r>
        <w:rPr>
          <w:b/>
        </w:rPr>
        <w:t xml:space="preserve">GATE  </w:t>
      </w:r>
      <w:r>
        <w:t>BLOCKING — defines the Step 5b query population</w:t>
      </w:r>
    </w:p>
    <w:p>
      <w:pPr>
        <w:pStyle w:val="Heading2"/>
        <w:jc w:val="left"/>
        <w:keepNext/>
      </w:pPr>
      <w:r>
        <w:t>Goal</w:t>
      </w:r>
    </w:p>
    <w:p>
      <w:r>
        <w:t>Create a reproducible set of anchors that covers predicted singletons and multiple predicted-group sizes without allowing very large components to dominate. Length and language remain recorded slices in V0, not quota dimensions.</w:t>
      </w:r>
    </w:p>
    <w:p>
      <w:pPr>
        <w:pStyle w:val="Heading2"/>
        <w:jc w:val="left"/>
        <w:keepNext/>
      </w:pPr>
      <w:r>
        <w:t>Frozen V0 allocation</w:t>
      </w:r>
    </w:p>
    <w:tbl>
      <w:tblPr>
        <w:tblStyle w:val="TableGrid"/>
        <w:tblW w:type="dxa" w:w="9360"/>
        <w:tblLayout w:type="fixed"/>
        <w:tblLook w:firstColumn="1" w:firstRow="1" w:lastColumn="0" w:lastRow="0" w:noHBand="0" w:noVBand="1" w:val="04A0"/>
        <w:jc w:val="left"/>
        <w:tblInd w:w="120" w:type="dxa"/>
      </w:tblPr>
      <w:tblGrid>
        <w:gridCol w:w="4200"/>
        <w:gridCol w:w="1100"/>
        <w:gridCol w:w="4060"/>
      </w:tblGrid>
      <w:tr>
        <w:trPr>
          <w:trHeight w:hRule="atLeast"/>
          <w:tblHeader w:val="true"/>
          <w:cantSplit w:val="true"/>
        </w:trPr>
        <w:tc>
          <w:tcPr>
            <w:tcW w:type="dxa" w:w="4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Anchor stratum</w:t>
            </w:r>
          </w:p>
        </w:tc>
        <w:tc>
          <w:tcPr>
            <w:tcW w:type="dxa" w:w="1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Target</w:t>
            </w:r>
          </w:p>
        </w:tc>
        <w:tc>
          <w:tcPr>
            <w:tcW w:type="dxa" w:w="40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Sampling unit</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singleton</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500</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documents from predicted_group_id = -1.</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2</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3–5</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 6–20</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r>
        <w:trPr>
          <w:cantSplit w:val="true"/>
          <w:trHeight w:hRule="atLeast"/>
        </w:trPr>
        <w:tc>
          <w:tcPr>
            <w:tcW w:type="dxa" w:w="4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Predicted group size &gt;= 21</w:t>
            </w:r>
          </w:p>
        </w:tc>
        <w:tc>
          <w:tcPr>
            <w:tcW w:type="dxa" w:w="1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125</w:t>
            </w:r>
          </w:p>
        </w:tc>
        <w:tc>
          <w:tcPr>
            <w:tcW w:type="dxa" w:w="4060"/>
            <w:tcMar>
              <w:top w:w="80" w:type="dxa"/>
              <w:start w:w="120" w:type="dxa"/>
              <w:bottom w:w="80" w:type="dxa"/>
              <w:end w:w="120" w:type="dxa"/>
            </w:tcMar>
            <w:vAlign w:val="center"/>
          </w:tcPr>
          <w:p>
            <w:pPr>
              <w:spacing w:after="0" w:line="252" w:lineRule="auto"/>
              <w:jc w:val="left"/>
            </w:pPr>
            <w:r>
              <w:rPr>
                <w:rFonts w:ascii="Calibri" w:hAnsi="Calibri" w:eastAsia="Calibri"/>
                <w:color w:val="000000"/>
                <w:sz w:val="18"/>
              </w:rPr>
              <w:t>Uniform groups, then one uniform member per selected group.</w:t>
            </w:r>
          </w:p>
        </w:tc>
      </w:tr>
    </w:tbl>
    <w:p>
      <w:pPr>
        <w:spacing w:after="0"/>
      </w:pPr>
    </w:p>
    <w:p>
      <w:pPr>
        <w:pStyle w:val="Heading2"/>
        <w:jc w:val="left"/>
        <w:keepNext/>
      </w:pPr>
      <w:r>
        <w:t>Required procedure</w:t>
      </w:r>
    </w:p>
    <w:p>
      <w:pPr>
        <w:numPr>
          <w:ilvl w:val="0"/>
          <w:numId w:val="15"/>
        </w:numPr>
        <w:jc w:val="left"/>
      </w:pPr>
      <w:r>
        <w:t>Set anchor_seed in run_manifest.json before sampling.</w:t>
      </w:r>
    </w:p>
    <w:p>
      <w:pPr>
        <w:numPr>
          <w:ilvl w:val="0"/>
          <w:numId w:val="15"/>
        </w:numPr>
        <w:jc w:val="left"/>
      </w:pPr>
      <w:r>
        <w:t>Sample 500 singleton documents uniformly without replacement.</w:t>
      </w:r>
    </w:p>
    <w:p>
      <w:pPr>
        <w:numPr>
          <w:ilvl w:val="0"/>
          <w:numId w:val="15"/>
        </w:numPr>
        <w:jc w:val="left"/>
      </w:pPr>
      <w:r>
        <w:t>For each grouped-size bucket, sample 125 predicted groups uniformly without replacement, then sample one member uniformly from each selected group. This prevents a 1,000-document component from contributing 1,000 times the anchor probability of a two-document component.</w:t>
      </w:r>
    </w:p>
    <w:p>
      <w:pPr>
        <w:numPr>
          <w:ilvl w:val="0"/>
          <w:numId w:val="15"/>
        </w:numPr>
        <w:jc w:val="left"/>
      </w:pPr>
      <w:r>
        <w:t>If a grouped-size bucket contains fewer than 125 groups, take all available groups and redistribute the unused quota across the remaining grouped buckets in proportion to their number of unsampled groups. Record the redistribution.</w:t>
      </w:r>
    </w:p>
    <w:p>
      <w:pPr>
        <w:numPr>
          <w:ilvl w:val="0"/>
          <w:numId w:val="15"/>
        </w:numPr>
        <w:jc w:val="left"/>
      </w:pPr>
      <w:r>
        <w:t>Write anchor_selection_probability. For singleton anchors this is 500/N_singletons. For a member of group g in bucket h it is min(1, n_groups_h/N_groups_h) × 1/size(g).</w:t>
      </w:r>
    </w:p>
    <w:p>
      <w:pPr>
        <w:numPr>
          <w:ilvl w:val="0"/>
          <w:numId w:val="15"/>
        </w:numPr>
        <w:jc w:val="left"/>
      </w:pPr>
      <w:r>
        <w:t>Retain language, length bucket, hostname, and action as reporting metadata. Do not change the sample after looking at judge labels.</w:t>
      </w:r>
    </w:p>
    <w:p>
      <w:pPr>
        <w:pStyle w:val="Heading2"/>
        <w:jc w:val="left"/>
        <w:keepNext/>
      </w:pPr>
      <w:r>
        <w:t>Output: anchors.parquet</w:t>
      </w:r>
    </w:p>
    <w:p>
      <w:pPr>
        <w:numPr>
          <w:ilvl w:val="0"/>
          <w:numId w:val="10"/>
        </w:numPr>
        <w:jc w:val="left"/>
      </w:pPr>
      <w:r>
        <w:t>run_id, anchor_id/doc_id, anchor_stratum, group-size bucket, language, length bucket, predicted cluster key, action, anchor selection probability, and anchor_seed.</w:t>
      </w:r>
    </w:p>
    <w:p>
      <w:pPr>
        <w:numPr>
          <w:ilvl w:val="0"/>
          <w:numId w:val="10"/>
        </w:numPr>
        <w:jc w:val="left"/>
      </w:pPr>
      <w:r>
        <w:t>Exactly 1,000 unique doc_ids unless the documented redistribution rule cannot fill the sample, in which case Step 4 stops for an explicit scope decision.</w:t>
      </w:r>
    </w:p>
    <w:p>
      <w:pPr>
        <w:pStyle w:val="Heading1"/>
      </w:pPr>
      <w:r>
        <w:t>Step 5 — Construct and Select Judge Pairs</w:t>
      </w:r>
    </w:p>
    <w:p>
      <w:pPr>
        <w:pStyle w:val="Callout"/>
        <w:shd w:fill="EAF2F8"/>
      </w:pPr>
      <w:r>
        <w:rPr>
          <w:rFonts w:ascii="Calibri" w:hAnsi="Calibri" w:eastAsia="Calibri"/>
          <w:b/>
          <w:color w:val="1F4D78"/>
          <w:sz w:val="21"/>
        </w:rPr>
        <w:t xml:space="preserve">Two frames, two questions. </w:t>
      </w:r>
      <w:r>
        <w:rPr>
          <w:rFonts w:ascii="Calibri" w:hAnsi="Calibri" w:eastAsia="Calibri"/>
          <w:color w:val="0B2545"/>
          <w:sz w:val="21"/>
        </w:rPr>
        <w:t>Step 5a samples actual SUT removal decisions and asks whether they are safe. Step 5b retrieves cross-predicted-group candidates and asks what plausible duplicates the SUT may have missed. Build, sample, and report the two frames separately.</w:t>
      </w:r>
    </w:p>
    <w:p>
      <w:pPr>
        <w:pStyle w:val="Heading2"/>
      </w:pPr>
      <w:r>
        <w:t>Step 5a — Sample Removal-Decision Pairs</w:t>
      </w:r>
    </w:p>
    <w:p>
      <w:pPr/>
      <w:r>
        <w:rPr>
          <w:b/>
          <w:color w:val="1F4D78"/>
        </w:rPr>
        <w:t xml:space="preserve">Owner: </w:t>
      </w:r>
      <w:r>
        <w:t>Hongsheng. Required V0 stream. Total budget: 10,000 pairs.</w:t>
      </w:r>
    </w:p>
    <w:p>
      <w:pPr>
        <w:pStyle w:val="Heading3"/>
        <w:jc w:val="left"/>
        <w:keepNext/>
      </w:pPr>
      <w:r>
        <w:t>Primary removal-decision frame</w:t>
      </w:r>
    </w:p>
    <w:p>
      <w:r>
        <w:t>For every document with action = REMOVE, create exactly one directional pair (final_keeper_id, removed_doc_id). This is the action the SUT effectively takes: the retained document is expected to safely represent the removed document.</w:t>
      </w:r>
    </w:p>
    <w:p>
      <w:pPr>
        <w:pStyle w:val="CodeBlock"/>
        <w:shd w:fill="F1F3F5"/>
      </w:pPr>
      <w:r>
        <w:rPr>
          <w:rFonts w:ascii="Menlo" w:hAnsi="Menlo" w:eastAsia="Menlo"/>
          <w:color w:val="0B2545"/>
          <w:sz w:val="17"/>
        </w:rPr>
        <w:t>pair_role = 'removal_decision'</w:t>
      </w:r>
      <w:r>
        <w:br/>
      </w:r>
      <w:r>
        <w:rPr>
          <w:rFonts w:ascii="Menlo" w:hAnsi="Menlo" w:eastAsia="Menlo"/>
          <w:color w:val="0B2545"/>
          <w:sz w:val="17"/>
        </w:rPr>
        <w:t>doc_a = final_keeper_id</w:t>
      </w:r>
      <w:r>
        <w:br/>
      </w:r>
      <w:r>
        <w:rPr>
          <w:rFonts w:ascii="Menlo" w:hAnsi="Menlo" w:eastAsia="Menlo"/>
          <w:color w:val="0B2545"/>
          <w:sz w:val="17"/>
        </w:rPr>
        <w:t>doc_b = removed_doc_id</w:t>
      </w:r>
      <w:r>
        <w:br/>
      </w:r>
      <w:r>
        <w:rPr>
          <w:rFonts w:ascii="Menlo" w:hAnsi="Menlo" w:eastAsia="Menlo"/>
          <w:color w:val="0B2545"/>
          <w:sz w:val="17"/>
        </w:rPr>
        <w:t>assert action(doc_a) == 'KEEP'</w:t>
      </w:r>
      <w:r>
        <w:br/>
      </w:r>
      <w:r>
        <w:rPr>
          <w:rFonts w:ascii="Menlo" w:hAnsi="Menlo" w:eastAsia="Menlo"/>
          <w:color w:val="0B2545"/>
          <w:sz w:val="17"/>
        </w:rPr>
        <w:t>assert action(doc_b) == 'REMOVE'</w:t>
      </w:r>
      <w:r>
        <w:br/>
      </w:r>
      <w:r>
        <w:rPr>
          <w:rFonts w:ascii="Menlo" w:hAnsi="Menlo" w:eastAsia="Menlo"/>
          <w:color w:val="0B2545"/>
          <w:sz w:val="17"/>
        </w:rPr>
        <w:t>assert predicted_cluster_key(doc_a) == predicted_cluster_key(doc_b)</w:t>
      </w:r>
    </w:p>
    <w:p>
      <w:pPr>
        <w:pStyle w:val="Heading3"/>
        <w:jc w:val="left"/>
        <w:keepNext/>
      </w:pPr>
      <w:r>
        <w:t>Required main sample</w:t>
      </w:r>
    </w:p>
    <w:p>
      <w:pPr>
        <w:numPr>
          <w:ilvl w:val="0"/>
          <w:numId w:val="10"/>
        </w:numPr>
        <w:jc w:val="left"/>
      </w:pPr>
      <w:r>
        <w:t>Let N_remove be the number of rows in the complete removal-decision frame.</w:t>
      </w:r>
    </w:p>
    <w:p>
      <w:pPr>
        <w:numPr>
          <w:ilvl w:val="0"/>
          <w:numId w:val="10"/>
        </w:numPr>
        <w:jc w:val="left"/>
      </w:pPr>
      <w:r>
        <w:t>Reserve 9,500 positions for a uniform sample without replacement using pair_seed. If the optional minimum-diff slice is not built, use all 10,000 positions for this uniform sample.</w:t>
      </w:r>
    </w:p>
    <w:p>
      <w:pPr>
        <w:numPr>
          <w:ilvl w:val="0"/>
          <w:numId w:val="10"/>
        </w:numPr>
        <w:jc w:val="left"/>
      </w:pPr>
      <w:r>
        <w:t>Record main_sample_probability = n_main/N_remove for every main-sample pair.</w:t>
      </w:r>
    </w:p>
    <w:p>
      <w:pPr>
        <w:numPr>
          <w:ilvl w:val="0"/>
          <w:numId w:val="10"/>
        </w:numPr>
        <w:jc w:val="left"/>
      </w:pPr>
      <w:r>
        <w:t>Do not replace keeper-to-removed pairs with arbitrary within-group pairs. The primary V0 question concerns actual removal decisions.</w:t>
      </w:r>
    </w:p>
    <w:p>
      <w:pPr>
        <w:pStyle w:val="Heading3"/>
        <w:jc w:val="left"/>
        <w:keepNext/>
      </w:pPr>
      <w:r>
        <w:t>Optional minimum-diff removal risk slice — non-blocking</w:t>
      </w:r>
    </w:p>
    <w:p>
      <w:r>
        <w:t>Reserve up to 500 of the 10,000 Step 5a positions for natural removal decisions whose texts are nearly identical but differ in a potentially material field. This is a challenge slice, not a separate corpus-wide retriever and not part of the main removal-precision estimate.</w:t>
      </w:r>
    </w:p>
    <w:p>
      <w:pPr>
        <w:numPr>
          <w:ilvl w:val="0"/>
          <w:numId w:val="16"/>
        </w:numPr>
        <w:jc w:val="left"/>
      </w:pPr>
      <w:r>
        <w:t>Compute a token- or character-alignment summary for keeper-to-removed pairs. Derive edit_ratio, changed_span_count, and changed token spans.</w:t>
      </w:r>
    </w:p>
    <w:p>
      <w:pPr>
        <w:numPr>
          <w:ilvl w:val="0"/>
          <w:numId w:val="16"/>
        </w:numPr>
        <w:jc w:val="left"/>
      </w:pPr>
      <w:r>
        <w:t>A pair is eligible when 0 &lt; edit_ratio &lt;= 0.05 and at least one changed span matches a material category: number, date/time, product/version, URL, named entity, negation, code literal/output, or short paragraph insertion/deletion.</w:t>
      </w:r>
    </w:p>
    <w:p>
      <w:pPr>
        <w:numPr>
          <w:ilvl w:val="0"/>
          <w:numId w:val="16"/>
        </w:numPr>
        <w:jc w:val="left"/>
      </w:pPr>
      <w:r>
        <w:t>Stratify eligible pairs by the first material category under the fixed precedence above and sample up to 500 with approximately equal allocation across non-empty categories.</w:t>
      </w:r>
    </w:p>
    <w:p>
      <w:pPr>
        <w:numPr>
          <w:ilvl w:val="0"/>
          <w:numId w:val="16"/>
        </w:numPr>
        <w:jc w:val="left"/>
      </w:pPr>
      <w:r>
        <w:t>If the alignment and material-span classifier are not ready, skip this slice and fill the Step 5a budget with 10,000 uniform removal-decision pairs. Skipping it must not block V0.</w:t>
      </w:r>
    </w:p>
    <w:p>
      <w:pPr>
        <w:pStyle w:val="Heading3"/>
        <w:jc w:val="left"/>
        <w:keepNext/>
      </w:pPr>
      <w:r>
        <w:t>Step 5a output and validation</w:t>
      </w:r>
    </w:p>
    <w:p>
      <w:pPr>
        <w:numPr>
          <w:ilvl w:val="0"/>
          <w:numId w:val="10"/>
        </w:numPr>
        <w:jc w:val="left"/>
      </w:pPr>
      <w:r>
        <w:t>removal_pairs_selected.parquet with pair_role, keeper/removed direction, main or minimum_diff stream, frame size, stratum, selection probability where defined, and all document metadata needed after judging.</w:t>
      </w:r>
    </w:p>
    <w:p>
      <w:pPr>
        <w:numPr>
          <w:ilvl w:val="0"/>
          <w:numId w:val="10"/>
        </w:numPr>
        <w:jc w:val="left"/>
      </w:pPr>
      <w:r>
        <w:t>No self-pairs, no missing texts, no duplicate directional decisions, and every pair is within one predicted cluster.</w:t>
      </w:r>
    </w:p>
    <w:p>
      <w:pPr>
        <w:numPr>
          <w:ilvl w:val="0"/>
          <w:numId w:val="10"/>
        </w:numPr>
        <w:jc w:val="left"/>
      </w:pPr>
      <w:r>
        <w:t>Exactly 10,000 selected rows when N_remove &gt;= 10,000; otherwise select the full frame and record the smaller count.</w:t>
      </w:r>
    </w:p>
    <w:p>
      <w:pPr>
        <w:pStyle w:val="Heading2"/>
      </w:pPr>
      <w:r>
        <w:t>Step 5b — Retrieve Anchor-Based Cross-Group Candidates</w:t>
      </w:r>
    </w:p>
    <w:p>
      <w:pPr/>
      <w:r>
        <w:rPr>
          <w:b/>
          <w:color w:val="1F4D78"/>
        </w:rPr>
        <w:t xml:space="preserve">Owner: </w:t>
      </w:r>
      <w:r>
        <w:t>Hongsheng. Required V0 stream. Budget: up to 10,000 unique pairs.</w:t>
      </w:r>
    </w:p>
    <w:p>
      <w:pPr>
        <w:pStyle w:val="Heading3"/>
        <w:jc w:val="left"/>
        <w:keepNext/>
      </w:pPr>
      <w:r>
        <w:t>Goal and precondition</w:t>
      </w:r>
    </w:p>
    <w:p>
      <w:r>
        <w:t>Find plausible duplicate or hard-negative candidates that the SUT assigned to different predicted clusters. Exact-match retrieval is excluded because the Step 1 corpus has already been exact-deduplicated. V0 uses exactly two complementary retrieval channels.</w:t>
      </w:r>
    </w:p>
    <w:p>
      <w:pPr>
        <w:pStyle w:val="Heading3"/>
        <w:jc w:val="left"/>
        <w:keepNext/>
      </w:pPr>
      <w:r>
        <w:t>Channel 1 — relaxed lexical retrieval</w:t>
      </w:r>
    </w:p>
    <w:p>
      <w:pPr>
        <w:numPr>
          <w:ilvl w:val="0"/>
          <w:numId w:val="17"/>
        </w:numPr>
        <w:jc w:val="left"/>
      </w:pPr>
      <w:r>
        <w:t>Use a second MinHash/LSH candidate-generation configuration that is more permissive than the frozen SUT. This is a retriever only; it does not change SUT predictions.</w:t>
      </w:r>
    </w:p>
    <w:p>
      <w:pPr>
        <w:numPr>
          <w:ilvl w:val="0"/>
          <w:numId w:val="17"/>
        </w:numPr>
        <w:jc w:val="left"/>
      </w:pPr>
      <w:r>
        <w:t>Tune the retrieval configuration on 100 fixed pilot anchors before the judge run. Choose and freeze a configuration whose median number of cross-predicted-group candidates is between 20 and 50 per anchor; log every tried configuration and candidate-count summary.</w:t>
      </w:r>
    </w:p>
    <w:p>
      <w:pPr>
        <w:numPr>
          <w:ilvl w:val="0"/>
          <w:numId w:val="17"/>
        </w:numPr>
        <w:jc w:val="left"/>
      </w:pPr>
      <w:r>
        <w:t>For each of the 1,000 anchors, collect up to the top 50 lexical candidates. Remove self-pairs and every pair with the same predicted_cluster_key.</w:t>
      </w:r>
    </w:p>
    <w:p>
      <w:pPr>
        <w:numPr>
          <w:ilvl w:val="0"/>
          <w:numId w:val="17"/>
        </w:numPr>
        <w:jc w:val="left"/>
      </w:pPr>
      <w:r>
        <w:t>For retained candidates compute exact n-gram Jaccard, symmetric containment, length ratio, lexical rank, and the retrieval configuration ID.</w:t>
      </w:r>
    </w:p>
    <w:p>
      <w:pPr>
        <w:pStyle w:val="CodeBlock"/>
        <w:shd w:fill="F1F3F5"/>
      </w:pPr>
      <w:r>
        <w:rPr>
          <w:rFonts w:ascii="Menlo" w:hAnsi="Menlo" w:eastAsia="Menlo"/>
          <w:color w:val="0B2545"/>
          <w:sz w:val="17"/>
        </w:rPr>
        <w:t>jaccard(A,B) = |S_A ∩ S_B| / |S_A ∪ S_B|</w:t>
      </w:r>
      <w:r>
        <w:br/>
      </w:r>
      <w:r>
        <w:rPr>
          <w:rFonts w:ascii="Menlo" w:hAnsi="Menlo" w:eastAsia="Menlo"/>
          <w:color w:val="0B2545"/>
          <w:sz w:val="17"/>
        </w:rPr>
        <w:t>containment(A,B) = |S_A ∩ S_B| / min(|S_A|, |S_B|)</w:t>
      </w:r>
      <w:r>
        <w:br/>
      </w:r>
      <w:r>
        <w:rPr>
          <w:rFonts w:ascii="Menlo" w:hAnsi="Menlo" w:eastAsia="Menlo"/>
          <w:color w:val="0B2545"/>
          <w:sz w:val="17"/>
        </w:rPr>
        <w:t>length_ratio(A,B) = min(tokens_A, tokens_B) / max(tokens_A, tokens_B)</w:t>
      </w:r>
    </w:p>
    <w:p>
      <w:pPr>
        <w:pStyle w:val="Heading3"/>
        <w:jc w:val="left"/>
        <w:keepNext/>
      </w:pPr>
      <w:r>
        <w:t>Channel 2 — semantic embedding retrieval</w:t>
      </w:r>
    </w:p>
    <w:p>
      <w:pPr>
        <w:numPr>
          <w:ilvl w:val="0"/>
          <w:numId w:val="18"/>
        </w:numPr>
        <w:jc w:val="left"/>
      </w:pPr>
      <w:r>
        <w:t>Use the Step 1 embeddings and the frozen embedding metadata. Apply the recorded normalization exactly once; do not mix embedding models or modes within a run.</w:t>
      </w:r>
    </w:p>
    <w:p>
      <w:pPr>
        <w:numPr>
          <w:ilvl w:val="0"/>
          <w:numId w:val="18"/>
        </w:numPr>
        <w:jc w:val="left"/>
      </w:pPr>
      <w:r>
        <w:t>Build or reuse one vector index over all 1M corpus embeddings. Query each anchor for top_k = 50 neighbors and log index type, index parameters, search parameters, and any truncation.</w:t>
      </w:r>
    </w:p>
    <w:p>
      <w:pPr>
        <w:numPr>
          <w:ilvl w:val="0"/>
          <w:numId w:val="18"/>
        </w:numPr>
        <w:jc w:val="left"/>
      </w:pPr>
      <w:r>
        <w:t>Remove the anchor itself and every candidate with the same predicted_cluster_key.</w:t>
      </w:r>
    </w:p>
    <w:p>
      <w:pPr>
        <w:numPr>
          <w:ilvl w:val="0"/>
          <w:numId w:val="18"/>
        </w:numPr>
        <w:jc w:val="left"/>
      </w:pPr>
      <w:r>
        <w:t>For each retained semantic candidate, store cosine score and semantic rank, then compute the same exact Jaccard, containment, and length-ratio features used for lexical candidates.</w:t>
      </w:r>
    </w:p>
    <w:p>
      <w:pPr>
        <w:numPr>
          <w:ilvl w:val="0"/>
          <w:numId w:val="18"/>
        </w:numPr>
        <w:jc w:val="left"/>
      </w:pPr>
      <w:r>
        <w:t>Mark semantic_high_lexical_low using frozen pilot quantiles rather than an invented universal threshold: cosine at or above the pilot P90 and Jaccard below the pilot median. Store the actual numeric cutoffs.</w:t>
      </w:r>
    </w:p>
    <w:p>
      <w:pPr>
        <w:pStyle w:val="Heading3"/>
        <w:jc w:val="left"/>
        <w:keepNext/>
      </w:pPr>
      <w:r>
        <w:t>Union, per-anchor quota, and refill rule</w:t>
      </w:r>
    </w:p>
    <w:p>
      <w:pPr>
        <w:numPr>
          <w:ilvl w:val="0"/>
          <w:numId w:val="19"/>
        </w:numPr>
        <w:jc w:val="left"/>
      </w:pPr>
      <w:r>
        <w:t>Create an anchor-candidate record for every retrieval result. Canonicalize the unordered pair as (min(doc_id_a, doc_id_b), max(doc_id_a, doc_id_b)), but retain anchor_id and all channel-specific provenance.</w:t>
      </w:r>
    </w:p>
    <w:p>
      <w:pPr>
        <w:numPr>
          <w:ilvl w:val="0"/>
          <w:numId w:val="19"/>
        </w:numPr>
        <w:jc w:val="left"/>
      </w:pPr>
      <w:r>
        <w:t>Classify each candidate for an anchor as lexical_only, semantic_only, or both.</w:t>
      </w:r>
    </w:p>
    <w:p>
      <w:pPr>
        <w:numPr>
          <w:ilvl w:val="0"/>
          <w:numId w:val="19"/>
        </w:numPr>
        <w:jc w:val="left"/>
      </w:pPr>
      <w:r>
        <w:t>Select up to four lexical_only candidates by descending exact Jaccard, four semantic_only candidates by descending cosine while prioritizing semantic_high_lexical_low, and two both-channel candidates by the lowest sum of normalized lexical and semantic ranks.</w:t>
      </w:r>
    </w:p>
    <w:p>
      <w:pPr>
        <w:numPr>
          <w:ilvl w:val="0"/>
          <w:numId w:val="19"/>
        </w:numPr>
        <w:jc w:val="left"/>
      </w:pPr>
      <w:r>
        <w:t>If a quota is sparse, fill the anchor's remaining positions from all unselected cross-group candidates sorted by best normalized rank, then canonical pair ID as the deterministic tie-breaker.</w:t>
      </w:r>
    </w:p>
    <w:p>
      <w:pPr>
        <w:numPr>
          <w:ilvl w:val="0"/>
          <w:numId w:val="19"/>
        </w:numPr>
        <w:jc w:val="left"/>
      </w:pPr>
      <w:r>
        <w:t>Deduplicate selected canonical pair IDs globally. A pair selected from multiple anchors or streams is judged once, with all memberships preserved.</w:t>
      </w:r>
    </w:p>
    <w:p>
      <w:pPr>
        <w:numPr>
          <w:ilvl w:val="0"/>
          <w:numId w:val="19"/>
        </w:numPr>
        <w:jc w:val="left"/>
      </w:pPr>
      <w:r>
        <w:t>If global deduplication produces fewer than 10,000 unique pairs, refill from the globally unselected candidate pool using the same deterministic best-rank order until 10,000 are selected or the pool is exhausted.</w:t>
      </w:r>
    </w:p>
    <w:p>
      <w:pPr>
        <w:pStyle w:val="Heading3"/>
        <w:jc w:val="left"/>
        <w:keepNext/>
      </w:pPr>
      <w:r>
        <w:t>Step 5b output and validation</w:t>
      </w:r>
    </w:p>
    <w:p>
      <w:pPr>
        <w:numPr>
          <w:ilvl w:val="0"/>
          <w:numId w:val="10"/>
        </w:numPr>
        <w:jc w:val="left"/>
      </w:pPr>
      <w:r>
        <w:t>cross_group_pairs_selected.parquet plus a pair_provenance table containing every anchor/channel membership, score, rank, stratum, and selection rule.</w:t>
      </w:r>
    </w:p>
    <w:p>
      <w:pPr>
        <w:numPr>
          <w:ilvl w:val="0"/>
          <w:numId w:val="10"/>
        </w:numPr>
        <w:jc w:val="left"/>
      </w:pPr>
      <w:r>
        <w:t>Every selected pair has different predicted_cluster_key values, valid text for both endpoints, and at least one retrieval source.</w:t>
      </w:r>
    </w:p>
    <w:p>
      <w:pPr>
        <w:numPr>
          <w:ilvl w:val="0"/>
          <w:numId w:val="10"/>
        </w:numPr>
        <w:jc w:val="left"/>
      </w:pPr>
      <w:r>
        <w:t>Report candidate counts before and after every filter, per channel and per anchor. Do not silently drop anchors with zero candidates.</w:t>
      </w:r>
    </w:p>
    <w:p>
      <w:pPr>
        <w:pStyle w:val="Heading3"/>
        <w:jc w:val="left"/>
        <w:keepNext/>
      </w:pPr>
      <w:r>
        <w:t>Deferred retrieval channels and why</w:t>
      </w:r>
    </w:p>
    <w:p>
      <w:pPr>
        <w:numPr>
          <w:ilvl w:val="0"/>
          <w:numId w:val="10"/>
        </w:numPr>
        <w:jc w:val="left"/>
      </w:pPr>
      <w:r>
        <w:rPr>
          <w:b/>
        </w:rPr>
        <w:t>Suffix-array or ExactSubstr retrieval (Next Version) — as a long shared-span retriever.</w:t>
      </w:r>
      <w:r>
        <w:t xml:space="preserve"> It can find copied paragraphs, quoted articles, and reused code inside otherwise different documents. It is deferred because it requires a corpus-wide substring index plus minimum-span and boilerplate rules that can cause candidate explosion. V0 lexical retrieval and pair-level containment provide a lower-cost first signal.</w:t>
      </w:r>
    </w:p>
    <w:p>
      <w:pPr>
        <w:numPr>
          <w:ilvl w:val="0"/>
          <w:numId w:val="10"/>
        </w:numPr>
        <w:jc w:val="left"/>
      </w:pPr>
      <w:r>
        <w:rPr>
          <w:b/>
        </w:rPr>
        <w:t>Standalone containment retrieval (Next Version) — as an asymmetric partial-copy retriever.</w:t>
      </w:r>
      <w:r>
        <w:t xml:space="preserve"> It targets cases where a short document is embedded in a much longer one. A full retrieval channel needs an inverted n-gram index or containment-oriented LSH and careful boilerplate control. V0 computes containment only on pairs found by the two required channels.</w:t>
      </w:r>
    </w:p>
    <w:p>
      <w:pPr>
        <w:numPr>
          <w:ilvl w:val="0"/>
          <w:numId w:val="10"/>
        </w:numPr>
        <w:jc w:val="left"/>
      </w:pPr>
      <w:r>
        <w:rPr>
          <w:b/>
        </w:rPr>
        <w:t>BM25 or TF-IDF retrieval (Next Version) — as a sparse token-based lexical retriever.</w:t>
      </w:r>
      <w:r>
        <w:t xml:space="preserve"> It may find reordered text and documents sharing rare terms, but requires a separate index and multilingual tokenization choices and overlaps with relaxed n-gram retrieval. One lexical channel is sufficient to exercise V0.</w:t>
      </w:r>
    </w:p>
    <w:p>
      <w:pPr>
        <w:numPr>
          <w:ilvl w:val="0"/>
          <w:numId w:val="10"/>
        </w:numPr>
        <w:jc w:val="left"/>
      </w:pPr>
      <w:r>
        <w:rPr>
          <w:b/>
        </w:rPr>
        <w:t>SimHash retrieval (Next Version) — as a compact whole-document lexical retriever.</w:t>
      </w:r>
      <w:r>
        <w:t xml:space="preserve"> It needs new fingerprints, a Hamming-distance index, and radius calibration, while its expected V0 coverage is highly correlated with MinHash. Its value should be judged later by unique-positive contribution.</w:t>
      </w:r>
    </w:p>
    <w:p>
      <w:pPr>
        <w:numPr>
          <w:ilvl w:val="0"/>
          <w:numId w:val="10"/>
        </w:numPr>
        <w:jc w:val="left"/>
      </w:pPr>
      <w:r>
        <w:rPr>
          <w:b/>
        </w:rPr>
        <w:t>URL, source, and crawl-time retrieval (Next Version) — as a metadata and temporal retriever.</w:t>
      </w:r>
      <w:r>
        <w:t xml:space="preserve"> It can find page versions and syndicated copies, but needs a frozen URL-canonicalization policy and enough repeated crawl coverage. URL/source equality is not duplicate truth. V0 retains same URL, hostname, source, and time delta only as features and slices.</w:t>
      </w:r>
    </w:p>
    <w:p>
      <w:pPr>
        <w:numPr>
          <w:ilvl w:val="0"/>
          <w:numId w:val="10"/>
        </w:numPr>
        <w:jc w:val="left"/>
      </w:pPr>
      <w:r>
        <w:rPr>
          <w:b/>
        </w:rPr>
        <w:t>Alternative-parser retrieval (Next Version) — as an extraction-robustness retriever.</w:t>
      </w:r>
      <w:r>
        <w:t xml:space="preserve"> It requires raw HTML reprocessing, a second parser, stable alignment to doc_id, and analysis that separates parser failures from dedup failures. V0 fixes one normalization_version to keep the SUT boundary reproducible.</w:t>
      </w:r>
    </w:p>
    <w:p>
      <w:pPr>
        <w:pStyle w:val="Heading2"/>
      </w:pPr>
      <w:r>
        <w:t>Step 5c — Canonicalize the Combined Judge Queue</w:t>
      </w:r>
    </w:p>
    <w:p>
      <w:pPr/>
      <w:r>
        <w:rPr>
          <w:b/>
          <w:color w:val="1F4D78"/>
        </w:rPr>
        <w:t xml:space="preserve">Owner: </w:t>
      </w:r>
      <w:r>
        <w:t>Hongsheng. Required after Steps 5a and 5b.</w:t>
      </w:r>
    </w:p>
    <w:p>
      <w:pPr>
        <w:numPr>
          <w:ilvl w:val="0"/>
          <w:numId w:val="20"/>
        </w:numPr>
        <w:jc w:val="left"/>
      </w:pPr>
      <w:r>
        <w:t>Concatenate the selected Step 5a and Step 5b records, then compute canonical_pair_id = (min(doc_i, doc_j), max(doc_i, doc_j)).</w:t>
      </w:r>
    </w:p>
    <w:p>
      <w:pPr>
        <w:numPr>
          <w:ilvl w:val="0"/>
          <w:numId w:val="20"/>
        </w:numPr>
        <w:jc w:val="left"/>
      </w:pPr>
      <w:r>
        <w:t>Judge each canonical_pair_id once. Preserve ordered keeper/removed roles separately for Step 5a; canonicalization must not erase direction.</w:t>
      </w:r>
    </w:p>
    <w:p>
      <w:pPr>
        <w:numPr>
          <w:ilvl w:val="0"/>
          <w:numId w:val="20"/>
        </w:numPr>
        <w:jc w:val="left"/>
      </w:pPr>
      <w:r>
        <w:t>Create one pair-level row and one-to-many provenance rows. The pair-level row contains texts and neutral metadata; provenance rows contain hidden SUT and retrieval information.</w:t>
      </w:r>
    </w:p>
    <w:p>
      <w:pPr>
        <w:numPr>
          <w:ilvl w:val="0"/>
          <w:numId w:val="20"/>
        </w:numPr>
        <w:jc w:val="left"/>
      </w:pPr>
      <w:r>
        <w:t>Randomize the A/B presentation order using judge_order_seed. Store the permutation so directional replaceability can be mapped back to keeper/removed after judging.</w:t>
      </w:r>
    </w:p>
    <w:p>
      <w:pPr>
        <w:numPr>
          <w:ilvl w:val="0"/>
          <w:numId w:val="20"/>
        </w:numPr>
        <w:jc w:val="left"/>
      </w:pPr>
      <w:r>
        <w:t>Assign judge_payload_hash over the exact visible payload. Reusing an existing judgment is allowed only when payload hash, judge model, prompt version, and schema version all match.</w:t>
      </w:r>
    </w:p>
    <w:p>
      <w:pPr>
        <w:pStyle w:val="Heading1"/>
        <w:keepNext/>
      </w:pPr>
      <w:r>
        <w:t>Step 6 — Run the Blind Model Judge</w:t>
      </w:r>
    </w:p>
    <w:p>
      <w:pPr>
        <w:pStyle w:val="StepMetadata"/>
        <w:keepNext/>
      </w:pPr>
      <w:r>
        <w:rPr>
          <w:b/>
        </w:rPr>
        <w:t xml:space="preserve">OWNER  </w:t>
      </w:r>
      <w:r>
        <w:t>Hongsheng</w:t>
      </w:r>
      <w:r>
        <w:t xml:space="preserve">     |     </w:t>
      </w:r>
      <w:r>
        <w:rPr>
          <w:b/>
        </w:rPr>
        <w:t xml:space="preserve">GATE  </w:t>
      </w:r>
      <w:r>
        <w:t>BLOCKING — every selected unique pair receives a schema-valid result</w:t>
      </w:r>
    </w:p>
    <w:p>
      <w:pPr>
        <w:pStyle w:val="Heading2"/>
        <w:jc w:val="left"/>
        <w:keepNext/>
      </w:pPr>
      <w:r>
        <w:t>Goal</w:t>
      </w:r>
    </w:p>
    <w:p>
      <w:r>
        <w:t>Produce one machine-validated, auditable judgment for every unique selected pair. The judge determines duplicate relation and directional replaceability; it does not see how the pair was selected or what the SUT predicted.</w:t>
      </w:r>
    </w:p>
    <w:p>
      <w:pPr>
        <w:pStyle w:val="Heading2"/>
        <w:jc w:val="left"/>
        <w:keepNext/>
      </w:pPr>
      <w:r>
        <w:t>Visible judge payload</w:t>
      </w:r>
    </w:p>
    <w:p>
      <w:pPr>
        <w:numPr>
          <w:ilvl w:val="0"/>
          <w:numId w:val="10"/>
        </w:numPr>
        <w:jc w:val="left"/>
      </w:pPr>
      <w:r>
        <w:t>Text A and Text B, or the deterministic long-document evidence package described below.</w:t>
      </w:r>
    </w:p>
    <w:p>
      <w:pPr>
        <w:numPr>
          <w:ilvl w:val="0"/>
          <w:numId w:val="10"/>
        </w:numPr>
        <w:jc w:val="left"/>
      </w:pPr>
      <w:r>
        <w:t>Neutral metadata needed to interpret versioning or source context: URL, crawl timestamp, language, and text length. Missing metadata remains null.</w:t>
      </w:r>
    </w:p>
    <w:p>
      <w:pPr>
        <w:numPr>
          <w:ilvl w:val="0"/>
          <w:numId w:val="10"/>
        </w:numPr>
        <w:jc w:val="left"/>
      </w:pPr>
      <w:r>
        <w:t>Optional aligned diff spans for minimum-diff pairs, presented without the minimum-diff label or any retrieval score.</w:t>
      </w:r>
    </w:p>
    <w:p>
      <w:pPr>
        <w:pStyle w:val="Heading2"/>
        <w:jc w:val="left"/>
        <w:keepNext/>
      </w:pPr>
      <w:r>
        <w:t>Strictly hidden from the judge</w:t>
      </w:r>
    </w:p>
    <w:p>
      <w:pPr>
        <w:numPr>
          <w:ilvl w:val="0"/>
          <w:numId w:val="10"/>
        </w:numPr>
        <w:jc w:val="left"/>
      </w:pPr>
      <w:r>
        <w:t>predicted_group_id, predicted_cluster_key, KEEP/REMOVE, and final_keeper_id;</w:t>
      </w:r>
    </w:p>
    <w:p>
      <w:pPr>
        <w:numPr>
          <w:ilvl w:val="0"/>
          <w:numId w:val="10"/>
        </w:numPr>
        <w:jc w:val="left"/>
      </w:pPr>
      <w:r>
        <w:t>track, stream, anchor status, retriever names, source bitmask, ranks, scores, and sampling probabilities;</w:t>
      </w:r>
    </w:p>
    <w:p>
      <w:pPr>
        <w:numPr>
          <w:ilvl w:val="0"/>
          <w:numId w:val="10"/>
        </w:numPr>
        <w:jc w:val="left"/>
      </w:pPr>
      <w:r>
        <w:t>expected confusion-matrix cell or any earlier model/human label.</w:t>
      </w:r>
    </w:p>
    <w:p>
      <w:pPr>
        <w:pStyle w:val="Heading2"/>
        <w:jc w:val="left"/>
        <w:keepNext/>
      </w:pPr>
      <w:r>
        <w:t>Long-document handling</w:t>
      </w:r>
    </w:p>
    <w:p>
      <w:pPr>
        <w:numPr>
          <w:ilvl w:val="0"/>
          <w:numId w:val="21"/>
        </w:numPr>
        <w:jc w:val="left"/>
      </w:pPr>
      <w:r>
        <w:t>Set max_visible_tokens in judge_config.json based on the chosen model context window, reserving at least 20% for instructions and output.</w:t>
      </w:r>
    </w:p>
    <w:p>
      <w:pPr>
        <w:numPr>
          <w:ilvl w:val="0"/>
          <w:numId w:val="21"/>
        </w:numPr>
        <w:jc w:val="left"/>
      </w:pPr>
      <w:r>
        <w:t>If Text A + Text B fits, send both full texts.</w:t>
      </w:r>
    </w:p>
    <w:p>
      <w:pPr>
        <w:numPr>
          <w:ilvl w:val="0"/>
          <w:numId w:val="21"/>
        </w:numPr>
        <w:jc w:val="left"/>
      </w:pPr>
      <w:r>
        <w:t>If it does not fit, split each document into fixed-size overlapping token windows. Select the first window, last window, and the highest-overlap aligned window pairs under lexical similarity until the visible budget is filled.</w:t>
      </w:r>
    </w:p>
    <w:p>
      <w:pPr>
        <w:numPr>
          <w:ilvl w:val="0"/>
          <w:numId w:val="21"/>
        </w:numPr>
        <w:jc w:val="left"/>
      </w:pPr>
      <w:r>
        <w:t>Record the included character/token offsets and a truncation flag. The judge must return UNRESOLVED when the visible evidence is insufficient rather than infer unseen content.</w:t>
      </w:r>
    </w:p>
    <w:p>
      <w:pPr>
        <w:pStyle w:val="Heading2"/>
        <w:jc w:val="left"/>
        <w:keepNext/>
      </w:pPr>
      <w:r>
        <w:t>Required judge outputs</w:t>
      </w:r>
    </w:p>
    <w:tbl>
      <w:tblPr>
        <w:tblStyle w:val="TableGrid"/>
        <w:tblW w:type="dxa" w:w="9360"/>
        <w:tblLayout w:type="fixed"/>
        <w:tblLook w:firstColumn="1" w:firstRow="1" w:lastColumn="0" w:lastRow="0" w:noHBand="0" w:noVBand="1" w:val="04A0"/>
        <w:jc w:val="left"/>
        <w:tblInd w:w="120" w:type="dxa"/>
      </w:tblPr>
      <w:tblGrid>
        <w:gridCol w:w="2200"/>
        <w:gridCol w:w="2700"/>
        <w:gridCol w:w="4460"/>
      </w:tblGrid>
      <w:tr>
        <w:trPr>
          <w:trHeight w:hRule="atLeast"/>
          <w:tblHeader w:val="true"/>
          <w:cantSplit w:val="true"/>
        </w:trPr>
        <w:tc>
          <w:tcPr>
            <w:tcW w:type="dxa" w:w="22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27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Allowed values</w:t>
            </w:r>
          </w:p>
        </w:tc>
        <w:tc>
          <w:tcPr>
            <w:tcW w:type="dxa" w:w="44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Operational meaning</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and B belong in the same duplicate group.</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a_can_replace_b</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keeping A and removing B preserves materially relevant information.</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b_can_replace_a</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NO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Directional reverse of the preceding field.</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relation_type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EXACT / CANONICAL_EXACT / NEAR_SURFACE / CONTAINMENT / VERSION_RELATED / RELATED_NON_DUPLICATE / UNRELATED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Primary relation category.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material_difference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NONE / MINOR / MAJOR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Importance of the observed differences.</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fuzzy_scope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IN_SCOPE / BORDERLINE / OUT_OF_SCOPE / UNRESOLVED</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Whether a surface-similarity fuzzy method is reasonably expected to catch the pair.</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confidence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0.0–1.0</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confidence; not a sampling weight.</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reason_codes</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Controlled list</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Examples: NUMBER_CHANGE, VERSION_CHANGE, URL_CHANGE, BOILERPLATE, PARSER_NOISE, TOPIC_ONLY.</w:t>
            </w:r>
          </w:p>
        </w:tc>
      </w:tr>
      <w:tr>
        <w:trPr>
          <w:cantSplit w:val="true"/>
          <w:trHeight w:hRule="atLeast"/>
        </w:trPr>
        <w:tc>
          <w:tcPr>
            <w:tcW w:type="dxa" w:w="2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evidence</w:t>
            </w:r>
          </w:p>
        </w:tc>
        <w:tc>
          <w:tcPr>
            <w:tcW w:type="dxa" w:w="27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Short quoted spans or offsets</w:t>
            </w:r>
          </w:p>
        </w:tc>
        <w:tc>
          <w:tcPr>
            <w:tcW w:type="dxa" w:w="44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Minimal support for audit; no long free-form chain of thought.</w:t>
            </w:r>
          </w:p>
        </w:tc>
      </w:tr>
    </w:tbl>
    <w:p>
      <w:pPr>
        <w:spacing w:after="0"/>
      </w:pPr>
    </w:p>
    <w:p>
      <w:pPr>
        <w:pStyle w:val="Heading2"/>
        <w:jc w:val="left"/>
        <w:keepNext/>
      </w:pPr>
      <w:r>
        <w:t>Execution and validation</w:t>
      </w:r>
    </w:p>
    <w:p>
      <w:pPr>
        <w:numPr>
          <w:ilvl w:val="0"/>
          <w:numId w:val="22"/>
        </w:numPr>
        <w:jc w:val="left"/>
      </w:pPr>
      <w:r>
        <w:t>Freeze judge_model, model revision, prompt_version, schema_version, temperature, max tokens, retry policy, and judge_order_seed.</w:t>
      </w:r>
    </w:p>
    <w:p>
      <w:pPr>
        <w:numPr>
          <w:ilvl w:val="0"/>
          <w:numId w:val="22"/>
        </w:numPr>
        <w:jc w:val="left"/>
      </w:pPr>
      <w:r>
        <w:t>Require strict JSON schema validation. On invalid JSON or missing required fields, retry the same payload up to two times. After two failed retries, store a judge_error result and route the pair to the unresolved queue.</w:t>
      </w:r>
    </w:p>
    <w:p>
      <w:pPr>
        <w:numPr>
          <w:ilvl w:val="0"/>
          <w:numId w:val="22"/>
        </w:numPr>
        <w:jc w:val="left"/>
      </w:pPr>
      <w:r>
        <w:t>Enforce consistency checks. Examples: relation_type = UNRELATED cannot coexist with same_duplicate_group = YES; material_difference = MAJOR should not silently produce bidirectional replaceability = YES without a flagged rationale.</w:t>
      </w:r>
    </w:p>
    <w:p>
      <w:pPr>
        <w:numPr>
          <w:ilvl w:val="0"/>
          <w:numId w:val="22"/>
        </w:numPr>
        <w:jc w:val="left"/>
      </w:pPr>
      <w:r>
        <w:t>Do not discard low-confidence results. Preserve them and apply reporting thresholds only after the full judge output is stored.</w:t>
      </w:r>
    </w:p>
    <w:p>
      <w:pPr>
        <w:numPr>
          <w:ilvl w:val="0"/>
          <w:numId w:val="22"/>
        </w:numPr>
        <w:jc w:val="left"/>
      </w:pPr>
      <w:r>
        <w:t>Create judge_results.jsonl, judge_errors.jsonl, judge_config.json, and a completion summary with requested, valid, unresolved, retried, and failed counts.</w:t>
      </w:r>
    </w:p>
    <w:p>
      <w:pPr>
        <w:pStyle w:val="Heading2"/>
        <w:jc w:val="left"/>
        <w:keepNext/>
      </w:pPr>
      <w:r>
        <w:t>Human quality-assurance sample</w:t>
      </w:r>
    </w:p>
    <w:p>
      <w:pPr>
        <w:numPr>
          <w:ilvl w:val="0"/>
          <w:numId w:val="10"/>
        </w:numPr>
        <w:jc w:val="left"/>
      </w:pPr>
      <w:r>
        <w:t>Select 200 judged pairs before reading model outputs: 50 Step 5a main, 50 minimum-diff if available (otherwise Step 5a main), 50 lexical-focused Step 5b, and 50 semantic-focused Step 5b.</w:t>
      </w:r>
    </w:p>
    <w:p>
      <w:pPr>
        <w:numPr>
          <w:ilvl w:val="0"/>
          <w:numId w:val="10"/>
        </w:numPr>
        <w:jc w:val="left"/>
      </w:pPr>
      <w:r>
        <w:t>A human reviewer labels the same required fields using a compact rubric and can mark AMBIGUOUS. The reviewer is blinded to SUT and retrieval metadata.</w:t>
      </w:r>
    </w:p>
    <w:p>
      <w:pPr>
        <w:numPr>
          <w:ilvl w:val="0"/>
          <w:numId w:val="10"/>
        </w:numPr>
        <w:jc w:val="left"/>
      </w:pPr>
      <w:r>
        <w:t>Report raw agreement and disagreements by label. Human QA is a V0 prompt sanity check, not a claim of validated ground truth. Do not fine-tune the judge during this frozen run.</w:t>
      </w:r>
    </w:p>
    <w:p>
      <w:pPr>
        <w:pStyle w:val="Heading1"/>
        <w:keepNext/>
      </w:pPr>
      <w:r>
        <w:t>Step 7 — Build a Partial Judged Constraint Graph</w:t>
      </w:r>
    </w:p>
    <w:p>
      <w:pPr>
        <w:pStyle w:val="StepMetadata"/>
        <w:keepNext/>
      </w:pPr>
      <w:r>
        <w:rPr>
          <w:b/>
        </w:rPr>
        <w:t xml:space="preserve">OWNER  </w:t>
      </w:r>
      <w:r>
        <w:t>Hongsheng</w:t>
      </w:r>
      <w:r>
        <w:t xml:space="preserve">     |     </w:t>
      </w:r>
      <w:r>
        <w:rPr>
          <w:b/>
        </w:rPr>
        <w:t xml:space="preserve">GATE  </w:t>
      </w:r>
      <w:r>
        <w:t>REQUIRED DIAGNOSTIC — not complete ground truth</w:t>
      </w:r>
    </w:p>
    <w:p>
      <w:pPr>
        <w:pStyle w:val="Heading2"/>
        <w:jc w:val="left"/>
        <w:keepNext/>
      </w:pPr>
      <w:r>
        <w:t>Goal</w:t>
      </w:r>
    </w:p>
    <w:p>
      <w:r>
        <w:t>Convert high-confidence pair judgments into an auditable graph that supports consistency checks and limited component diagnostics. Because only sampled pairs were judged, the output must be called a partial judged constraint graph, not complete true groups.</w:t>
      </w:r>
    </w:p>
    <w:p>
      <w:pPr>
        <w:pStyle w:val="Heading2"/>
        <w:jc w:val="left"/>
        <w:keepNext/>
      </w:pPr>
      <w:r>
        <w:t>Required procedure</w:t>
      </w:r>
    </w:p>
    <w:p>
      <w:pPr>
        <w:numPr>
          <w:ilvl w:val="0"/>
          <w:numId w:val="23"/>
        </w:numPr>
        <w:jc w:val="left"/>
      </w:pPr>
      <w:r>
        <w:t>Create one node for every document appearing in a judged pair.</w:t>
      </w:r>
    </w:p>
    <w:p>
      <w:pPr>
        <w:numPr>
          <w:ilvl w:val="0"/>
          <w:numId w:val="23"/>
        </w:numPr>
        <w:jc w:val="left"/>
      </w:pPr>
      <w:r>
        <w:t>Create a must-link edge for same_duplicate_group = YES when confidence &gt;= 0.80. Create a cannot-link constraint for same_duplicate_group = NO when confidence &gt;= 0.80. Leave UNRESOLVED or lower-confidence pairs uncommitted.</w:t>
      </w:r>
    </w:p>
    <w:p>
      <w:pPr>
        <w:numPr>
          <w:ilvl w:val="0"/>
          <w:numId w:val="23"/>
        </w:numPr>
        <w:jc w:val="left"/>
      </w:pPr>
      <w:r>
        <w:t>Build connected components from must-link edges using union-find.</w:t>
      </w:r>
    </w:p>
    <w:p>
      <w:pPr>
        <w:numPr>
          <w:ilvl w:val="0"/>
          <w:numId w:val="23"/>
        </w:numPr>
        <w:jc w:val="left"/>
      </w:pPr>
      <w:r>
        <w:t>Before every union, check whether the proposed merged components contain any cannot-link pair. If so, do not silently merge; create a conflict record containing the contributing edges and route it to human QA.</w:t>
      </w:r>
    </w:p>
    <w:p>
      <w:pPr>
        <w:numPr>
          <w:ilvl w:val="0"/>
          <w:numId w:val="23"/>
        </w:numPr>
        <w:jc w:val="left"/>
      </w:pPr>
      <w:r>
        <w:t>Do not infer unobserved cannot-links or claim that documents outside the judged graph are true singletons.</w:t>
      </w:r>
    </w:p>
    <w:p>
      <w:pPr>
        <w:pStyle w:val="Heading2"/>
        <w:jc w:val="left"/>
        <w:keepNext/>
      </w:pPr>
      <w:r>
        <w:t>Outputs and done criteria</w:t>
      </w:r>
    </w:p>
    <w:p>
      <w:pPr>
        <w:numPr>
          <w:ilvl w:val="0"/>
          <w:numId w:val="10"/>
        </w:numPr>
        <w:jc w:val="left"/>
      </w:pPr>
      <w:r>
        <w:t>judged_must_links.parquet, judged_cannot_links.parquet, partial_reference_components.parquet, and constraint_conflicts.parquet.</w:t>
      </w:r>
    </w:p>
    <w:p>
      <w:pPr>
        <w:numPr>
          <w:ilvl w:val="0"/>
          <w:numId w:val="10"/>
        </w:numPr>
        <w:jc w:val="left"/>
      </w:pPr>
      <w:r>
        <w:t>Every committed edge traces to one judge_result_id and one payload hash.</w:t>
      </w:r>
    </w:p>
    <w:p>
      <w:pPr>
        <w:numPr>
          <w:ilvl w:val="0"/>
          <w:numId w:val="10"/>
        </w:numPr>
        <w:jc w:val="left"/>
      </w:pPr>
      <w:r>
        <w:t>The report states the number of nodes, committed edges, unresolved edges, components, and conflicts. No complete-cluster metric uses these partial components as if every corpus pair had been labeled.</w:t>
      </w:r>
    </w:p>
    <w:p>
      <w:pPr>
        <w:pStyle w:val="Heading1"/>
        <w:keepNext/>
      </w:pPr>
      <w:r>
        <w:t>Step 8 — Compare SUT Predictions with Judged Labels</w:t>
      </w:r>
    </w:p>
    <w:p>
      <w:pPr>
        <w:pStyle w:val="StepMetadata"/>
        <w:keepNext/>
      </w:pPr>
      <w:r>
        <w:rPr>
          <w:b/>
        </w:rPr>
        <w:t xml:space="preserve">OWNER  </w:t>
      </w:r>
      <w:r>
        <w:t>Hongsheng</w:t>
      </w:r>
      <w:r>
        <w:t xml:space="preserve">     |     </w:t>
      </w:r>
      <w:r>
        <w:rPr>
          <w:b/>
        </w:rPr>
        <w:t xml:space="preserve">GATE  </w:t>
      </w:r>
      <w:r>
        <w:t>BLOCKING — creates track-specific outcomes</w:t>
      </w:r>
    </w:p>
    <w:p>
      <w:pPr>
        <w:pStyle w:val="Heading2"/>
        <w:jc w:val="left"/>
        <w:keepNext/>
      </w:pPr>
      <w:r>
        <w:t>Required join</w:t>
      </w:r>
    </w:p>
    <w:p>
      <w:pPr>
        <w:numPr>
          <w:ilvl w:val="0"/>
          <w:numId w:val="24"/>
        </w:numPr>
        <w:jc w:val="left"/>
      </w:pPr>
      <w:r>
        <w:t>Join judge results to canonical pair records by canonical_pair_id and judge_payload_hash.</w:t>
      </w:r>
    </w:p>
    <w:p>
      <w:pPr>
        <w:numPr>
          <w:ilvl w:val="0"/>
          <w:numId w:val="24"/>
        </w:numPr>
        <w:jc w:val="left"/>
      </w:pPr>
      <w:r>
        <w:t>Join hidden provenance and document outcomes only after judging is complete.</w:t>
      </w:r>
    </w:p>
    <w:p>
      <w:pPr>
        <w:numPr>
          <w:ilvl w:val="0"/>
          <w:numId w:val="24"/>
        </w:numPr>
        <w:jc w:val="left"/>
      </w:pPr>
      <w:r>
        <w:t>Recover Step 5a direction using judge presentation order so the primary removal label is whether the actual keeper can replace the actual removed document.</w:t>
      </w:r>
    </w:p>
    <w:p>
      <w:pPr>
        <w:numPr>
          <w:ilvl w:val="0"/>
          <w:numId w:val="24"/>
        </w:numPr>
        <w:jc w:val="left"/>
      </w:pPr>
      <w:r>
        <w:t>Compute predicted_same_group using predicted_cluster_key equality, never raw -1 equality.</w:t>
      </w:r>
    </w:p>
    <w:p>
      <w:pPr>
        <w:pStyle w:val="Heading2"/>
        <w:jc w:val="left"/>
        <w:keepNext/>
      </w:pPr>
      <w:r>
        <w:t>Track-specific outcome rules</w:t>
      </w:r>
    </w:p>
    <w:tbl>
      <w:tblPr>
        <w:tblStyle w:val="TableGrid"/>
        <w:tblW w:type="dxa" w:w="9360"/>
        <w:tblLayout w:type="fixed"/>
        <w:tblLook w:firstColumn="1" w:firstRow="1" w:lastColumn="0" w:lastRow="0" w:noHBand="0" w:noVBand="1" w:val="04A0"/>
        <w:jc w:val="left"/>
        <w:tblInd w:w="120" w:type="dxa"/>
      </w:tblPr>
      <w:tblGrid>
        <w:gridCol w:w="1500"/>
        <w:gridCol w:w="2800"/>
        <w:gridCol w:w="2100"/>
        <w:gridCol w:w="2960"/>
      </w:tblGrid>
      <w:tr>
        <w:trPr>
          <w:trHeight w:hRule="atLeast"/>
          <w:tblHeader w:val="true"/>
          <w:cantSplit w:val="true"/>
        </w:trPr>
        <w:tc>
          <w:tcPr>
            <w:tcW w:type="dxa" w:w="15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Track</w:t>
            </w:r>
          </w:p>
        </w:tc>
        <w:tc>
          <w:tcPr>
            <w:tcW w:type="dxa" w:w="28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SUT assertion</w:t>
            </w:r>
          </w:p>
        </w:tc>
        <w:tc>
          <w:tcPr>
            <w:tcW w:type="dxa" w:w="2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Judge field</w:t>
            </w:r>
          </w:p>
        </w:tc>
        <w:tc>
          <w:tcPr>
            <w:tcW w:type="dxa" w:w="29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Outcome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main</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 safely represents removed doc</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safe removal; NO = wrong removal; UNRESOLVED = excluded from rate.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5a minimum diff</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directional assertion</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keeper_can_replace_removed</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Report as a separate challenge pass/fail slice.</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5b</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Documents are in different predicted clusters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YES = discovered candidate FN; NO = TN/hard negative; UNRESOLVED = excluded from yield.</w:t>
            </w:r>
          </w:p>
        </w:tc>
      </w:tr>
      <w:tr>
        <w:trPr>
          <w:cantSplit w:val="true"/>
          <w:trHeight w:hRule="atLeast"/>
        </w:trPr>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Pair diagnostic</w:t>
            </w:r>
          </w:p>
        </w:tc>
        <w:tc>
          <w:tcPr>
            <w:tcW w:type="dxa" w:w="28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 vs. different predicted cluster</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same_duplicate_group</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TP/FP/FN/TN may be stored by sampling frame, but raw frames are not pooled.</w:t>
            </w:r>
          </w:p>
        </w:tc>
      </w:tr>
    </w:tbl>
    <w:p>
      <w:pPr>
        <w:spacing w:after="0"/>
      </w:pPr>
    </w:p>
    <w:p>
      <w:pPr>
        <w:pStyle w:val="Heading2"/>
        <w:jc w:val="left"/>
        <w:keepNext/>
      </w:pPr>
      <w:r>
        <w:t>Output and validation</w:t>
      </w:r>
    </w:p>
    <w:p>
      <w:pPr>
        <w:numPr>
          <w:ilvl w:val="0"/>
          <w:numId w:val="10"/>
        </w:numPr>
        <w:jc w:val="left"/>
      </w:pPr>
      <w:r>
        <w:t>pair_comparisons.parquet with one row per canonical pair plus separate one-to-many provenance rows.</w:t>
      </w:r>
    </w:p>
    <w:p>
      <w:pPr>
        <w:numPr>
          <w:ilvl w:val="0"/>
          <w:numId w:val="10"/>
        </w:numPr>
        <w:jc w:val="left"/>
      </w:pPr>
      <w:r>
        <w:t>No judge result is joined across a mismatched payload hash, prompt version, model version, or schema version.</w:t>
      </w:r>
    </w:p>
    <w:p>
      <w:pPr>
        <w:numPr>
          <w:ilvl w:val="0"/>
          <w:numId w:val="10"/>
        </w:numPr>
        <w:jc w:val="left"/>
      </w:pPr>
      <w:r>
        <w:t>All denominators exclude judge_error and UNRESOLVED, while those counts remain visible in the report.</w:t>
      </w:r>
    </w:p>
    <w:p>
      <w:pPr>
        <w:pStyle w:val="Heading1"/>
        <w:keepNext/>
      </w:pPr>
      <w:r>
        <w:t>Step 9 — Calculate V0 Metrics and Diagnostics</w:t>
      </w:r>
    </w:p>
    <w:p>
      <w:pPr>
        <w:pStyle w:val="StepMetadata"/>
        <w:keepNext/>
      </w:pPr>
      <w:r>
        <w:rPr>
          <w:b/>
        </w:rPr>
        <w:t xml:space="preserve">OWNER  </w:t>
      </w:r>
      <w:r>
        <w:t>Hongsheng</w:t>
      </w:r>
      <w:r>
        <w:t xml:space="preserve">     |     </w:t>
      </w:r>
      <w:r>
        <w:rPr>
          <w:b/>
        </w:rPr>
        <w:t xml:space="preserve">GATE  </w:t>
      </w:r>
      <w:r>
        <w:t>REQUIRED — metrics must match their sampling frame</w:t>
      </w:r>
    </w:p>
    <w:p>
      <w:pPr>
        <w:pStyle w:val="Heading2"/>
        <w:jc w:val="left"/>
        <w:keepNext/>
      </w:pPr>
      <w:r>
        <w:t>Primary V0 metrics</w:t>
      </w:r>
    </w:p>
    <w:tbl>
      <w:tblPr>
        <w:tblStyle w:val="TableGrid"/>
        <w:tblW w:type="dxa" w:w="9360"/>
        <w:tblLayout w:type="fixed"/>
        <w:tblLook w:firstColumn="1" w:firstRow="1" w:lastColumn="0" w:lastRow="0" w:noHBand="0" w:noVBand="1" w:val="04A0"/>
        <w:jc w:val="left"/>
        <w:tblInd w:w="120" w:type="dxa"/>
      </w:tblPr>
      <w:tblGrid>
        <w:gridCol w:w="2300"/>
        <w:gridCol w:w="3200"/>
        <w:gridCol w:w="3860"/>
      </w:tblGrid>
      <w:tr>
        <w:trPr>
          <w:trHeight w:hRule="atLeast"/>
          <w:tblHeader w:val="true"/>
          <w:cantSplit w:val="true"/>
        </w:trPr>
        <w:tc>
          <w:tcPr>
            <w:tcW w:type="dxa" w:w="23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Metric</w:t>
            </w:r>
          </w:p>
        </w:tc>
        <w:tc>
          <w:tcPr>
            <w:tcW w:type="dxa" w:w="32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c>
          <w:tcPr>
            <w:tcW w:type="dxa" w:w="38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Interpretation / limitation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completion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schema-valid results / unique requested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Operational reliability of Step 6.</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 resolution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resolved YES or NO / schema-valid results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Share usable for binary analysis.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Removal precision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Step 5a main removals / resolved Step 5a main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Estimate for the uniform removal-decision frame; report a Wilson 95% CI.</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Wrong-removal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1 − removal precision</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Primary safety error rate for actual removal actions.</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Minimum-diff safety pass rate</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safe minimum-diff removals / resolved minimum-diff removals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Challenge-slice result; not corpus prevalence or main precision.</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Step 5b positive yield</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judged duplicate YES / resolved selected Step 5b pairs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Missed-duplicate discovery yield in the sampled candidate pool; not corpus recall.</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 overlap</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only / semantic only / both candidate and selected counts</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Shows complementarity and pipeline coverage.</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Unique positive contribution</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 pairs found only by each channel</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Guides which additional retrievers may be worth adding later.</w:t>
            </w:r>
          </w:p>
        </w:tc>
      </w:tr>
      <w:tr>
        <w:trPr>
          <w:cantSplit w:val="true"/>
          <w:trHeight w:hRule="atLeast"/>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Human–judge agreement</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exact agreement and disagreement counts by field</w:t>
            </w:r>
          </w:p>
        </w:tc>
        <w:tc>
          <w:tcPr>
            <w:tcW w:type="dxa" w:w="386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Prompt sanity check on the 200-pair QA sample.</w:t>
            </w:r>
          </w:p>
        </w:tc>
      </w:tr>
    </w:tbl>
    <w:p>
      <w:pPr>
        <w:spacing w:after="0"/>
      </w:pPr>
    </w:p>
    <w:p>
      <w:pPr>
        <w:pStyle w:val="Heading2"/>
        <w:jc w:val="left"/>
        <w:keepNext/>
      </w:pPr>
      <w:r>
        <w:t>Required slices</w:t>
      </w:r>
    </w:p>
    <w:p>
      <w:pPr>
        <w:numPr>
          <w:ilvl w:val="0"/>
          <w:numId w:val="10"/>
        </w:numPr>
        <w:jc w:val="left"/>
      </w:pPr>
      <w:r>
        <w:t>Step 5a main: predicted group-size bucket, language, length bucket, and keeper/removed length ratio.</w:t>
      </w:r>
    </w:p>
    <w:p>
      <w:pPr>
        <w:numPr>
          <w:ilvl w:val="0"/>
          <w:numId w:val="10"/>
        </w:numPr>
        <w:jc w:val="left"/>
      </w:pPr>
      <w:r>
        <w:t>Minimum-diff: changed-span category and material-difference label.</w:t>
      </w:r>
    </w:p>
    <w:p>
      <w:pPr>
        <w:numPr>
          <w:ilvl w:val="0"/>
          <w:numId w:val="10"/>
        </w:numPr>
        <w:jc w:val="left"/>
      </w:pPr>
      <w:r>
        <w:t>Step 5b: lexical_only, semantic_only, both, semantic-high/lexical-low, language, length bucket, same hostname, same canonical URL, and crawl-time-delta bucket when metadata exists.</w:t>
      </w:r>
    </w:p>
    <w:p>
      <w:pPr>
        <w:numPr>
          <w:ilvl w:val="0"/>
          <w:numId w:val="10"/>
        </w:numPr>
        <w:jc w:val="left"/>
      </w:pPr>
      <w:r>
        <w:t>Judge operations: full-text vs. truncated payload, retry count, model error type, confidence bucket, and relation type.</w:t>
      </w:r>
    </w:p>
    <w:p>
      <w:pPr>
        <w:pStyle w:val="Heading2"/>
        <w:jc w:val="left"/>
        <w:keepNext/>
      </w:pPr>
      <w:r>
        <w:t>Metrics V0 must not claim</w:t>
      </w:r>
    </w:p>
    <w:p>
      <w:pPr>
        <w:numPr>
          <w:ilvl w:val="0"/>
          <w:numId w:val="10"/>
        </w:numPr>
        <w:jc w:val="left"/>
      </w:pPr>
      <w:r>
        <w:t>Do not report unqualified corpus recall. Every V0 Step 5b candidate source has shared blind spots and zero inclusion probability for unseen pairs.</w:t>
      </w:r>
    </w:p>
    <w:p>
      <w:pPr>
        <w:numPr>
          <w:ilvl w:val="0"/>
          <w:numId w:val="10"/>
        </w:numPr>
        <w:jc w:val="left"/>
      </w:pPr>
      <w:r>
        <w:t>Do not report B-Cubed, cluster precision/recall/F1, exact-group recovery, split rate, or impurity as corpus metrics from the partial judged graph.</w:t>
      </w:r>
    </w:p>
    <w:p>
      <w:pPr>
        <w:numPr>
          <w:ilvl w:val="0"/>
          <w:numId w:val="10"/>
        </w:numPr>
        <w:jc w:val="left"/>
      </w:pPr>
      <w:r>
        <w:t>Do not combine Step 5a and Step 5b raw counts into one headline confusion matrix. If diagnostic TP/FP/FN/TN tables are shown, label the sampling frame and stream on every table.</w:t>
      </w:r>
    </w:p>
    <w:p>
      <w:pPr>
        <w:numPr>
          <w:ilvl w:val="0"/>
          <w:numId w:val="10"/>
        </w:numPr>
        <w:jc w:val="left"/>
      </w:pPr>
      <w:r>
        <w:t>Do not interpret URL equality, high cosine, high Jaccard, or model confidence as ground-truth labels.</w:t>
      </w:r>
    </w:p>
    <w:p>
      <w:pPr>
        <w:pStyle w:val="Callout"/>
        <w:shd w:fill="FFF7E0"/>
      </w:pPr>
      <w:r>
        <w:rPr>
          <w:rFonts w:ascii="Calibri" w:hAnsi="Calibri" w:eastAsia="Calibri"/>
          <w:b/>
          <w:color w:val="7A5A00"/>
          <w:sz w:val="21"/>
        </w:rPr>
        <w:t xml:space="preserve">Correct V0 language. </w:t>
      </w:r>
      <w:r>
        <w:rPr>
          <w:rFonts w:ascii="Calibri" w:hAnsi="Calibri" w:eastAsia="Calibri"/>
          <w:color w:val="0B2545"/>
          <w:sz w:val="21"/>
        </w:rPr>
        <w:t>Use “removal precision on the sampled removal-decision frame,” “minimum-diff safety pass rate,” and “missed-duplicate yield in the sampled candidate pool.” Do not shorten the last metric to “recall.”</w:t>
      </w:r>
    </w:p>
    <w:p>
      <w:pPr>
        <w:pStyle w:val="Heading1"/>
        <w:keepNext/>
      </w:pPr>
      <w:r>
        <w:t>Step 10 — Publish the V0 Report and Reproducibility Bundle</w:t>
      </w:r>
    </w:p>
    <w:p>
      <w:pPr>
        <w:pStyle w:val="StepMetadata"/>
        <w:keepNext/>
      </w:pPr>
      <w:r>
        <w:rPr>
          <w:b/>
        </w:rPr>
        <w:t xml:space="preserve">OWNER  </w:t>
      </w:r>
      <w:r>
        <w:t>Hongsheng</w:t>
      </w:r>
      <w:r>
        <w:t xml:space="preserve">     |     </w:t>
      </w:r>
      <w:r>
        <w:rPr>
          <w:b/>
        </w:rPr>
        <w:t xml:space="preserve">GATE  </w:t>
      </w:r>
      <w:r>
        <w:t>FINAL — V0 is complete only when all artifacts are auditable</w:t>
      </w:r>
    </w:p>
    <w:p>
      <w:pPr>
        <w:pStyle w:val="Heading2"/>
        <w:jc w:val="left"/>
        <w:keepNext/>
      </w:pPr>
      <w:r>
        <w:t>Required report sections</w:t>
      </w:r>
    </w:p>
    <w:p>
      <w:pPr>
        <w:numPr>
          <w:ilvl w:val="0"/>
          <w:numId w:val="25"/>
        </w:numPr>
        <w:jc w:val="left"/>
      </w:pPr>
      <w:r>
        <w:t>Executive summary: what ran, what completed, what failed, and the most important observed failure modes. State that V0 optimizes pipeline completion rather than score quality.</w:t>
      </w:r>
    </w:p>
    <w:p>
      <w:pPr>
        <w:numPr>
          <w:ilvl w:val="0"/>
          <w:numId w:val="25"/>
        </w:numPr>
        <w:jc w:val="left"/>
      </w:pPr>
      <w:r>
        <w:t>Scope and frozen configuration: corpus, exact-dedup precondition, SUT, embedding model, retrieval configuration, judge model/prompt, seeds, and code/container versions.</w:t>
      </w:r>
    </w:p>
    <w:p>
      <w:pPr>
        <w:numPr>
          <w:ilvl w:val="0"/>
          <w:numId w:val="25"/>
        </w:numPr>
        <w:jc w:val="left"/>
      </w:pPr>
      <w:r>
        <w:t>Pipeline accounting: row and pair counts at every step, including every filter and deduplication stage.</w:t>
      </w:r>
    </w:p>
    <w:p>
      <w:pPr>
        <w:numPr>
          <w:ilvl w:val="0"/>
          <w:numId w:val="25"/>
        </w:numPr>
        <w:jc w:val="left"/>
      </w:pPr>
      <w:r>
        <w:t>Step 5a safety results: main removal precision/wrong-removal rate plus separate minimum-diff results if implemented.</w:t>
      </w:r>
    </w:p>
    <w:p>
      <w:pPr>
        <w:numPr>
          <w:ilvl w:val="0"/>
          <w:numId w:val="25"/>
        </w:numPr>
        <w:jc w:val="left"/>
      </w:pPr>
      <w:r>
        <w:t>Step 5b diagnostics: candidate counts, selected counts, overlap, positive yield, unique-positive contribution, and failure examples by retrieval source.</w:t>
      </w:r>
    </w:p>
    <w:p>
      <w:pPr>
        <w:numPr>
          <w:ilvl w:val="0"/>
          <w:numId w:val="25"/>
        </w:numPr>
        <w:jc w:val="left"/>
      </w:pPr>
      <w:r>
        <w:t>Judge QA: schema validity, resolution, retries/errors, human agreement, and representative disagreements.</w:t>
      </w:r>
    </w:p>
    <w:p>
      <w:pPr>
        <w:numPr>
          <w:ilvl w:val="0"/>
          <w:numId w:val="25"/>
        </w:numPr>
        <w:jc w:val="left"/>
      </w:pPr>
      <w:r>
        <w:t>Limitations: incomplete recall frame, partial judged graph, model-judge uncertainty, sampling design, truncation, metadata missingness, and any skipped optional work.</w:t>
      </w:r>
    </w:p>
    <w:p>
      <w:pPr>
        <w:numPr>
          <w:ilvl w:val="0"/>
          <w:numId w:val="25"/>
        </w:numPr>
        <w:jc w:val="left"/>
      </w:pPr>
      <w:r>
        <w:t>Next-version backlog: audit islands, additional retrievers, graph-risk sampling, judge calibration/fine-tuning, and statistically defensible recall estimation.</w:t>
      </w:r>
    </w:p>
    <w:p>
      <w:pPr>
        <w:pStyle w:val="Heading2"/>
        <w:jc w:val="left"/>
        <w:keepNext/>
      </w:pPr>
      <w:r>
        <w:t>Required artifact bundle</w:t>
      </w:r>
    </w:p>
    <w:p>
      <w:pPr>
        <w:pStyle w:val="CodeBlock"/>
        <w:shd w:fill="F1F3F5"/>
      </w:pPr>
      <w:r>
        <w:rPr>
          <w:rFonts w:ascii="Menlo" w:hAnsi="Menlo" w:eastAsia="Menlo"/>
          <w:color w:val="0B2545"/>
          <w:sz w:val="17"/>
        </w:rPr>
        <w:t>v0_run/</w:t>
      </w:r>
      <w:r>
        <w:br/>
      </w:r>
      <w:r>
        <w:rPr>
          <w:rFonts w:ascii="Menlo" w:hAnsi="Menlo" w:eastAsia="Menlo"/>
          <w:color w:val="0B2545"/>
          <w:sz w:val="17"/>
        </w:rPr>
        <w:t>├── manifests/</w:t>
      </w:r>
      <w:r>
        <w:br/>
      </w:r>
      <w:r>
        <w:rPr>
          <w:rFonts w:ascii="Menlo" w:hAnsi="Menlo" w:eastAsia="Menlo"/>
          <w:color w:val="0B2545"/>
          <w:sz w:val="17"/>
        </w:rPr>
        <w:t>│   ├── corpus_manifest.json</w:t>
      </w:r>
      <w:r>
        <w:br/>
      </w:r>
      <w:r>
        <w:rPr>
          <w:rFonts w:ascii="Menlo" w:hAnsi="Menlo" w:eastAsia="Menlo"/>
          <w:color w:val="0B2545"/>
          <w:sz w:val="17"/>
        </w:rPr>
        <w:t>│   ├── sut_run_manifest.json</w:t>
      </w:r>
      <w:r>
        <w:br/>
      </w:r>
      <w:r>
        <w:rPr>
          <w:rFonts w:ascii="Menlo" w:hAnsi="Menlo" w:eastAsia="Menlo"/>
          <w:color w:val="0B2545"/>
          <w:sz w:val="17"/>
        </w:rPr>
        <w:t>│   ├── retrieval_config.json</w:t>
      </w:r>
      <w:r>
        <w:br/>
      </w:r>
      <w:r>
        <w:rPr>
          <w:rFonts w:ascii="Menlo" w:hAnsi="Menlo" w:eastAsia="Menlo"/>
          <w:color w:val="0B2545"/>
          <w:sz w:val="17"/>
        </w:rPr>
        <w:t>│   └── judge_config.json</w:t>
      </w:r>
      <w:r>
        <w:br/>
      </w:r>
      <w:r>
        <w:rPr>
          <w:rFonts w:ascii="Menlo" w:hAnsi="Menlo" w:eastAsia="Menlo"/>
          <w:color w:val="0B2545"/>
          <w:sz w:val="17"/>
        </w:rPr>
        <w:t>├── data/</w:t>
      </w:r>
      <w:r>
        <w:br/>
      </w:r>
      <w:r>
        <w:rPr>
          <w:rFonts w:ascii="Menlo" w:hAnsi="Menlo" w:eastAsia="Menlo"/>
          <w:color w:val="0B2545"/>
          <w:sz w:val="17"/>
        </w:rPr>
        <w:t>│   ├── document_outcomes.parquet</w:t>
      </w:r>
      <w:r>
        <w:br/>
      </w:r>
      <w:r>
        <w:rPr>
          <w:rFonts w:ascii="Menlo" w:hAnsi="Menlo" w:eastAsia="Menlo"/>
          <w:color w:val="0B2545"/>
          <w:sz w:val="17"/>
        </w:rPr>
        <w:t>│   ├── anchors.parquet</w:t>
      </w:r>
      <w:r>
        <w:br/>
      </w:r>
      <w:r>
        <w:rPr>
          <w:rFonts w:ascii="Menlo" w:hAnsi="Menlo" w:eastAsia="Menlo"/>
          <w:color w:val="0B2545"/>
          <w:sz w:val="17"/>
        </w:rPr>
        <w:t>│   ├── candidate_pairs.parquet</w:t>
      </w:r>
      <w:r>
        <w:br/>
      </w:r>
      <w:r>
        <w:rPr>
          <w:rFonts w:ascii="Menlo" w:hAnsi="Menlo" w:eastAsia="Menlo"/>
          <w:color w:val="0B2545"/>
          <w:sz w:val="17"/>
        </w:rPr>
        <w:t>│   ├── pair_provenance.parquet</w:t>
      </w:r>
      <w:r>
        <w:br/>
      </w:r>
      <w:r>
        <w:rPr>
          <w:rFonts w:ascii="Menlo" w:hAnsi="Menlo" w:eastAsia="Menlo"/>
          <w:color w:val="0B2545"/>
          <w:sz w:val="17"/>
        </w:rPr>
        <w:t>│   ├── judge_results.jsonl</w:t>
      </w:r>
      <w:r>
        <w:br/>
      </w:r>
      <w:r>
        <w:rPr>
          <w:rFonts w:ascii="Menlo" w:hAnsi="Menlo" w:eastAsia="Menlo"/>
          <w:color w:val="0B2545"/>
          <w:sz w:val="17"/>
        </w:rPr>
        <w:t>│   ├── pair_comparisons.parquet</w:t>
      </w:r>
      <w:r>
        <w:br/>
      </w:r>
      <w:r>
        <w:rPr>
          <w:rFonts w:ascii="Menlo" w:hAnsi="Menlo" w:eastAsia="Menlo"/>
          <w:color w:val="0B2545"/>
          <w:sz w:val="17"/>
        </w:rPr>
        <w:t>│   └── partial_reference_components.parquet</w:t>
      </w:r>
      <w:r>
        <w:br/>
      </w:r>
      <w:r>
        <w:rPr>
          <w:rFonts w:ascii="Menlo" w:hAnsi="Menlo" w:eastAsia="Menlo"/>
          <w:color w:val="0B2545"/>
          <w:sz w:val="17"/>
        </w:rPr>
        <w:t>├── reports/</w:t>
      </w:r>
      <w:r>
        <w:br/>
      </w:r>
      <w:r>
        <w:rPr>
          <w:rFonts w:ascii="Menlo" w:hAnsi="Menlo" w:eastAsia="Menlo"/>
          <w:color w:val="0B2545"/>
          <w:sz w:val="17"/>
        </w:rPr>
        <w:t>│   ├── metrics.json</w:t>
      </w:r>
      <w:r>
        <w:br/>
      </w:r>
      <w:r>
        <w:rPr>
          <w:rFonts w:ascii="Menlo" w:hAnsi="Menlo" w:eastAsia="Menlo"/>
          <w:color w:val="0B2545"/>
          <w:sz w:val="17"/>
        </w:rPr>
        <w:t>│   ├── metrics_by_slice.csv</w:t>
      </w:r>
      <w:r>
        <w:br/>
      </w:r>
      <w:r>
        <w:rPr>
          <w:rFonts w:ascii="Menlo" w:hAnsi="Menlo" w:eastAsia="Menlo"/>
          <w:color w:val="0B2545"/>
          <w:sz w:val="17"/>
        </w:rPr>
        <w:t>│   ├── pipeline_accounting.csv</w:t>
      </w:r>
      <w:r>
        <w:br/>
      </w:r>
      <w:r>
        <w:rPr>
          <w:rFonts w:ascii="Menlo" w:hAnsi="Menlo" w:eastAsia="Menlo"/>
          <w:color w:val="0B2545"/>
          <w:sz w:val="17"/>
        </w:rPr>
        <w:t>│   └── final_report.md</w:t>
      </w:r>
      <w:r>
        <w:br/>
      </w:r>
      <w:r>
        <w:rPr>
          <w:rFonts w:ascii="Menlo" w:hAnsi="Menlo" w:eastAsia="Menlo"/>
          <w:color w:val="0B2545"/>
          <w:sz w:val="17"/>
        </w:rPr>
        <w:t>└── logs/</w:t>
      </w:r>
      <w:r>
        <w:br/>
      </w:r>
      <w:r>
        <w:rPr>
          <w:rFonts w:ascii="Menlo" w:hAnsi="Menlo" w:eastAsia="Menlo"/>
          <w:color w:val="0B2545"/>
          <w:sz w:val="17"/>
        </w:rPr>
        <w:t xml:space="preserve">    ├── retrieval.log</w:t>
      </w:r>
      <w:r>
        <w:br/>
      </w:r>
      <w:r>
        <w:rPr>
          <w:rFonts w:ascii="Menlo" w:hAnsi="Menlo" w:eastAsia="Menlo"/>
          <w:color w:val="0B2545"/>
          <w:sz w:val="17"/>
        </w:rPr>
        <w:t xml:space="preserve">    ├── judge_errors.jsonl</w:t>
      </w:r>
      <w:r>
        <w:br/>
      </w:r>
      <w:r>
        <w:rPr>
          <w:rFonts w:ascii="Menlo" w:hAnsi="Menlo" w:eastAsia="Menlo"/>
          <w:color w:val="0B2545"/>
          <w:sz w:val="17"/>
        </w:rPr>
        <w:t xml:space="preserve">    └── execution_environment.json</w:t>
      </w:r>
    </w:p>
    <w:p>
      <w:pPr>
        <w:pStyle w:val="Heading2"/>
        <w:jc w:val="left"/>
        <w:keepNext/>
      </w:pPr>
      <w:r>
        <w:t>V0 acceptance criteria</w:t>
      </w:r>
    </w:p>
    <w:p>
      <w:pPr>
        <w:numPr>
          <w:ilvl w:val="0"/>
          <w:numId w:val="10"/>
        </w:numPr>
        <w:jc w:val="left"/>
      </w:pPr>
      <w:r>
        <w:t>Steps 1–10 completed on the frozen 1M-document corpus, or every deviation is explicitly listed with its effect and owner.</w:t>
      </w:r>
    </w:p>
    <w:p>
      <w:pPr>
        <w:numPr>
          <w:ilvl w:val="0"/>
          <w:numId w:val="10"/>
        </w:numPr>
        <w:jc w:val="left"/>
      </w:pPr>
      <w:r>
        <w:t>Every selected pair has a canonical ID, complete text references, source provenance, and a reproducible selection path.</w:t>
      </w:r>
    </w:p>
    <w:p>
      <w:pPr>
        <w:numPr>
          <w:ilvl w:val="0"/>
          <w:numId w:val="10"/>
        </w:numPr>
        <w:jc w:val="left"/>
      </w:pPr>
      <w:r>
        <w:t>At least 99% of requested judge payloads produce schema-valid stored results; failures remain in judge_errors.jsonl and are not silently dropped.</w:t>
      </w:r>
    </w:p>
    <w:p>
      <w:pPr>
        <w:numPr>
          <w:ilvl w:val="0"/>
          <w:numId w:val="10"/>
        </w:numPr>
        <w:jc w:val="left"/>
      </w:pPr>
      <w:r>
        <w:t>The 200-pair human QA sample is completed and summarized before the report is finalized.</w:t>
      </w:r>
    </w:p>
    <w:p>
      <w:pPr>
        <w:numPr>
          <w:ilvl w:val="0"/>
          <w:numId w:val="10"/>
        </w:numPr>
        <w:jc w:val="left"/>
      </w:pPr>
      <w:r>
        <w:t>Step 5a and Step 5b remain separate in sampling, accounting, and headline results.</w:t>
      </w:r>
    </w:p>
    <w:p>
      <w:pPr>
        <w:numPr>
          <w:ilvl w:val="0"/>
          <w:numId w:val="10"/>
        </w:numPr>
        <w:jc w:val="left"/>
      </w:pPr>
      <w:r>
        <w:t>All manifests, seeds, code/container versions, prompt/schema versions, checksums, and output paths are included in the artifact bundle.</w:t>
      </w:r>
    </w:p>
    <w:p>
      <w:pPr>
        <w:numPr>
          <w:ilvl w:val="0"/>
          <w:numId w:val="10"/>
        </w:numPr>
        <w:jc w:val="left"/>
      </w:pPr>
      <w:r>
        <w:t>The report uses bounded V0 claims and explicitly states that it does not estimate corpus-wide recall or complete cluster quality.</w:t>
      </w:r>
    </w:p>
    <w:p>
      <w:pPr>
        <w:pStyle w:val="Callout"/>
        <w:shd w:fill="FDECEC"/>
      </w:pPr>
      <w:r>
        <w:rPr>
          <w:rFonts w:ascii="Calibri" w:hAnsi="Calibri" w:eastAsia="Calibri"/>
          <w:b/>
          <w:color w:val="9B1C1C"/>
          <w:sz w:val="21"/>
        </w:rPr>
        <w:t xml:space="preserve">What does not block completion. </w:t>
      </w:r>
      <w:r>
        <w:rPr>
          <w:rFonts w:ascii="Calibri" w:hAnsi="Calibri" w:eastAsia="Calibri"/>
          <w:color w:val="0B2545"/>
          <w:sz w:val="21"/>
        </w:rPr>
        <w:t>A low removal-precision estimate, low Step 5b positive yield, or poor judge–human agreement does not by itself fail V0. Those are findings. V0 fails only when the workflow or its evidence is incomplete, irreproducible, silently inconsistent, or reported beyond its valid scope.</w:t>
      </w:r>
    </w:p>
    <w:p>
      <w:r>
        <w:br w:type="page"/>
      </w:r>
    </w:p>
    <w:p>
      <w:pPr>
        <w:pStyle w:val="Heading1"/>
      </w:pPr>
      <w:r>
        <w:t>Appendix A — Canonical Candidate-Pair Data Contract</w:t>
      </w:r>
    </w:p>
    <w:p>
      <w:r>
        <w:t>The following fields are the minimum contract for an AI agent or human implementation. A physical design may split them across pair and provenance tables, but no information may be lost.</w:t>
      </w:r>
    </w:p>
    <w:tbl>
      <w:tblPr>
        <w:tblStyle w:val="TableGrid"/>
        <w:tblW w:type="dxa" w:w="9360"/>
        <w:tblLayout w:type="fixed"/>
        <w:tblLook w:firstColumn="1" w:firstRow="1" w:lastColumn="0" w:lastRow="0" w:noHBand="0" w:noVBand="1" w:val="04A0"/>
        <w:jc w:val="left"/>
        <w:tblInd w:w="120" w:type="dxa"/>
      </w:tblPr>
      <w:tblGrid>
        <w:gridCol w:w="2600"/>
        <w:gridCol w:w="1550"/>
        <w:gridCol w:w="5210"/>
      </w:tblGrid>
      <w:tr>
        <w:trPr>
          <w:trHeight w:hRule="atLeast"/>
          <w:tblHeader w:val="true"/>
          <w:cantSplit w:val="true"/>
        </w:trPr>
        <w:tc>
          <w:tcPr>
            <w:tcW w:type="dxa" w:w="26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Field</w:t>
            </w:r>
          </w:p>
        </w:tc>
        <w:tc>
          <w:tcPr>
            <w:tcW w:type="dxa" w:w="155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w:t>
            </w:r>
          </w:p>
        </w:tc>
        <w:tc>
          <w:tcPr>
            <w:tcW w:type="dxa" w:w="521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Definition</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canonical_pair_id</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Stable unordered key derived from sorted doc IDs.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doc_id_low, doc_id_high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Canonical endpoints.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track_memberships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All selected tracks/streams; one pair may have several.</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ordered_role_records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5a</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Keeper and removed direction preserved separately.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anchor_memberships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Every anchor that generated the pair and its probability.</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retriever_bitmask</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lexical, semantic,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scores_and_ranks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 5b</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Per-retriever values; null when not generated by that channel.</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selection_stratum</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Main, minimum-diff category, lexical-only, semantic-only, or both.</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frame_size and selection_probability</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Where defined</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Needed for valid frame-level estimates.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predicted_cluster_keys</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Hidden from judge</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Used after judging to compute SUT outcome.</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neutral metadata</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Language, length, URL/host, crawl time, and missingness flags.</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judge_payload_hash</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Yes</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Hash of exact judge-visible content and metadata.</w:t>
            </w:r>
          </w:p>
        </w:tc>
      </w:tr>
      <w:tr>
        <w:trPr>
          <w:cantSplit w:val="true"/>
          <w:trHeight w:hRule="atLeast"/>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judge_result_id</w:t>
            </w:r>
          </w:p>
        </w:tc>
        <w:tc>
          <w:tcPr>
            <w:tcW w:type="dxa" w:w="155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After Step 6</w:t>
            </w:r>
          </w:p>
        </w:tc>
        <w:tc>
          <w:tcPr>
            <w:tcW w:type="dxa" w:w="5210"/>
            <w:tcMar>
              <w:top w:w="80" w:type="dxa"/>
              <w:start w:w="120" w:type="dxa"/>
              <w:bottom w:w="80" w:type="dxa"/>
              <w:end w:w="120" w:type="dxa"/>
            </w:tcMar>
            <w:vAlign w:val="center"/>
          </w:tcPr>
          <w:p>
            <w:pPr>
              <w:spacing w:after="0" w:line="252" w:lineRule="auto"/>
              <w:jc w:val="left"/>
            </w:pPr>
            <w:r>
              <w:rPr>
                <w:rFonts w:ascii="Calibri" w:hAnsi="Calibri" w:eastAsia="Calibri"/>
                <w:color w:val="000000"/>
                <w:sz w:val="16"/>
              </w:rPr>
              <w:t>Foreign key to validated result and judge configuration.</w:t>
            </w:r>
          </w:p>
        </w:tc>
      </w:tr>
    </w:tbl>
    <w:p>
      <w:pPr>
        <w:spacing w:after="0"/>
      </w:pPr>
    </w:p>
    <w:p>
      <w:pPr>
        <w:pStyle w:val="Heading1"/>
      </w:pPr>
      <w:r>
        <w:t>Appendix B — Required Run-Manifest Keys</w:t>
      </w:r>
    </w:p>
    <w:p>
      <w:pPr>
        <w:pStyle w:val="CodeBlock"/>
        <w:shd w:fill="F1F3F5"/>
      </w:pPr>
      <w:r>
        <w:rPr>
          <w:rFonts w:ascii="Menlo" w:hAnsi="Menlo" w:eastAsia="Menlo"/>
          <w:color w:val="0B2545"/>
          <w:sz w:val="17"/>
        </w:rPr>
        <w:t>run_id</w:t>
      </w:r>
      <w:r>
        <w:br/>
      </w:r>
      <w:r>
        <w:rPr>
          <w:rFonts w:ascii="Menlo" w:hAnsi="Menlo" w:eastAsia="Menlo"/>
          <w:color w:val="0B2545"/>
          <w:sz w:val="17"/>
        </w:rPr>
        <w:t>schema_version</w:t>
      </w:r>
      <w:r>
        <w:br/>
      </w:r>
      <w:r>
        <w:rPr>
          <w:rFonts w:ascii="Menlo" w:hAnsi="Menlo" w:eastAsia="Menlo"/>
          <w:color w:val="0B2545"/>
          <w:sz w:val="17"/>
        </w:rPr>
        <w:t>dataset_version</w:t>
      </w:r>
      <w:r>
        <w:br/>
      </w:r>
      <w:r>
        <w:rPr>
          <w:rFonts w:ascii="Menlo" w:hAnsi="Menlo" w:eastAsia="Menlo"/>
          <w:color w:val="0B2545"/>
          <w:sz w:val="17"/>
        </w:rPr>
        <w:t>dataset_checksums</w:t>
      </w:r>
      <w:r>
        <w:br/>
      </w:r>
      <w:r>
        <w:rPr>
          <w:rFonts w:ascii="Menlo" w:hAnsi="Menlo" w:eastAsia="Menlo"/>
          <w:color w:val="0B2545"/>
          <w:sz w:val="17"/>
        </w:rPr>
        <w:t>normalization_version</w:t>
      </w:r>
      <w:r>
        <w:br/>
      </w:r>
      <w:r>
        <w:rPr>
          <w:rFonts w:ascii="Menlo" w:hAnsi="Menlo" w:eastAsia="Menlo"/>
          <w:color w:val="0B2545"/>
          <w:sz w:val="17"/>
        </w:rPr>
        <w:t>exact_dedup_version</w:t>
      </w:r>
      <w:r>
        <w:br/>
      </w:r>
      <w:r>
        <w:rPr>
          <w:rFonts w:ascii="Menlo" w:hAnsi="Menlo" w:eastAsia="Menlo"/>
          <w:color w:val="0B2545"/>
          <w:sz w:val="17"/>
        </w:rPr>
        <w:t>sut_method_name</w:t>
      </w:r>
      <w:r>
        <w:br/>
      </w:r>
      <w:r>
        <w:rPr>
          <w:rFonts w:ascii="Menlo" w:hAnsi="Menlo" w:eastAsia="Menlo"/>
          <w:color w:val="0B2545"/>
          <w:sz w:val="17"/>
        </w:rPr>
        <w:t>sut_method_config</w:t>
      </w:r>
      <w:r>
        <w:br/>
      </w:r>
      <w:r>
        <w:rPr>
          <w:rFonts w:ascii="Menlo" w:hAnsi="Menlo" w:eastAsia="Menlo"/>
          <w:color w:val="0B2545"/>
          <w:sz w:val="17"/>
        </w:rPr>
        <w:t>sut_code_or_container_version</w:t>
      </w:r>
      <w:r>
        <w:br/>
      </w:r>
      <w:r>
        <w:rPr>
          <w:rFonts w:ascii="Menlo" w:hAnsi="Menlo" w:eastAsia="Menlo"/>
          <w:color w:val="0B2545"/>
          <w:sz w:val="17"/>
        </w:rPr>
        <w:t>embedding_model_and_revision</w:t>
      </w:r>
      <w:r>
        <w:br/>
      </w:r>
      <w:r>
        <w:rPr>
          <w:rFonts w:ascii="Menlo" w:hAnsi="Menlo" w:eastAsia="Menlo"/>
          <w:color w:val="0B2545"/>
          <w:sz w:val="17"/>
        </w:rPr>
        <w:t>embedding_mode_and_normalization</w:t>
      </w:r>
      <w:r>
        <w:br/>
      </w:r>
      <w:r>
        <w:rPr>
          <w:rFonts w:ascii="Menlo" w:hAnsi="Menlo" w:eastAsia="Menlo"/>
          <w:color w:val="0B2545"/>
          <w:sz w:val="17"/>
        </w:rPr>
        <w:t>anchor_seed</w:t>
      </w:r>
      <w:r>
        <w:br/>
      </w:r>
      <w:r>
        <w:rPr>
          <w:rFonts w:ascii="Menlo" w:hAnsi="Menlo" w:eastAsia="Menlo"/>
          <w:color w:val="0B2545"/>
          <w:sz w:val="17"/>
        </w:rPr>
        <w:t>pair_seed</w:t>
      </w:r>
      <w:r>
        <w:br/>
      </w:r>
      <w:r>
        <w:rPr>
          <w:rFonts w:ascii="Menlo" w:hAnsi="Menlo" w:eastAsia="Menlo"/>
          <w:color w:val="0B2545"/>
          <w:sz w:val="17"/>
        </w:rPr>
        <w:t>judge_order_seed</w:t>
      </w:r>
      <w:r>
        <w:br/>
      </w:r>
      <w:r>
        <w:rPr>
          <w:rFonts w:ascii="Menlo" w:hAnsi="Menlo" w:eastAsia="Menlo"/>
          <w:color w:val="0B2545"/>
          <w:sz w:val="17"/>
        </w:rPr>
        <w:t>retrieval_config_and_pilot_cutoffs</w:t>
      </w:r>
      <w:r>
        <w:br/>
      </w:r>
      <w:r>
        <w:rPr>
          <w:rFonts w:ascii="Menlo" w:hAnsi="Menlo" w:eastAsia="Menlo"/>
          <w:color w:val="0B2545"/>
          <w:sz w:val="17"/>
        </w:rPr>
        <w:t>judge_model_and_revision</w:t>
      </w:r>
      <w:r>
        <w:br/>
      </w:r>
      <w:r>
        <w:rPr>
          <w:rFonts w:ascii="Menlo" w:hAnsi="Menlo" w:eastAsia="Menlo"/>
          <w:color w:val="0B2545"/>
          <w:sz w:val="17"/>
        </w:rPr>
        <w:t>prompt_version</w:t>
      </w:r>
      <w:r>
        <w:br/>
      </w:r>
      <w:r>
        <w:rPr>
          <w:rFonts w:ascii="Menlo" w:hAnsi="Menlo" w:eastAsia="Menlo"/>
          <w:color w:val="0B2545"/>
          <w:sz w:val="17"/>
        </w:rPr>
        <w:t>judge_schema_version</w:t>
      </w:r>
      <w:r>
        <w:br/>
      </w:r>
      <w:r>
        <w:rPr>
          <w:rFonts w:ascii="Menlo" w:hAnsi="Menlo" w:eastAsia="Menlo"/>
          <w:color w:val="0B2545"/>
          <w:sz w:val="17"/>
        </w:rPr>
        <w:t>execution_environment</w:t>
      </w:r>
      <w:r>
        <w:br/>
      </w:r>
      <w:r>
        <w:rPr>
          <w:rFonts w:ascii="Menlo" w:hAnsi="Menlo" w:eastAsia="Menlo"/>
          <w:color w:val="0B2545"/>
          <w:sz w:val="17"/>
        </w:rPr>
        <w:t>created_at_utc</w:t>
      </w:r>
    </w:p>
    <w:p>
      <w:r>
        <w:br w:type="page"/>
      </w:r>
    </w:p>
    <w:p>
      <w:pPr>
        <w:pStyle w:val="Heading1"/>
      </w:pPr>
      <w:r>
        <w:t>Appendix C — Failure Handling</w:t>
      </w:r>
    </w:p>
    <w:tbl>
      <w:tblPr>
        <w:tblStyle w:val="TableGrid"/>
        <w:tblW w:type="dxa" w:w="9360"/>
        <w:tblLayout w:type="fixed"/>
        <w:tblLook w:firstColumn="1" w:firstRow="1" w:lastColumn="0" w:lastRow="0" w:noHBand="0" w:noVBand="1" w:val="04A0"/>
        <w:jc w:val="left"/>
        <w:tblInd w:w="120" w:type="dxa"/>
      </w:tblPr>
      <w:tblGrid>
        <w:gridCol w:w="2100"/>
        <w:gridCol w:w="4100"/>
        <w:gridCol w:w="3160"/>
      </w:tblGrid>
      <w:tr>
        <w:trPr>
          <w:trHeight w:hRule="atLeast"/>
          <w:tblHeader w:val="true"/>
          <w:cantSplit w:val="true"/>
        </w:trPr>
        <w:tc>
          <w:tcPr>
            <w:tcW w:type="dxa" w:w="2100"/>
            <w:tcMar>
              <w:top w:w="80" w:type="dxa"/>
              <w:start w:w="120" w:type="dxa"/>
              <w:bottom w:w="80" w:type="dxa"/>
              <w:end w:w="120" w:type="dxa"/>
            </w:tcMar>
            <w:vAlign w:val="center"/>
            <w:shd w:fill="F4F6F9"/>
          </w:tcPr>
          <w:p>
            <w:pPr>
              <w:spacing w:after="0"/>
              <w:jc w:val="center"/>
            </w:pPr>
            <w:r>
              <w:rPr>
                <w:rFonts w:ascii="Calibri" w:hAnsi="Calibri" w:eastAsia="Calibri"/>
                <w:b/>
                <w:color w:val="0B2545"/>
                <w:sz w:val="18"/>
              </w:rPr>
              <w:t>Failure</w:t>
            </w:r>
          </w:p>
        </w:tc>
        <w:tc>
          <w:tcPr>
            <w:tcW w:type="dxa" w:w="410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Required behavior</w:t>
            </w:r>
          </w:p>
        </w:tc>
        <w:tc>
          <w:tcPr>
            <w:tcW w:type="dxa" w:w="3160"/>
            <w:tcMar>
              <w:top w:w="80" w:type="dxa"/>
              <w:start w:w="120" w:type="dxa"/>
              <w:bottom w:w="80" w:type="dxa"/>
              <w:end w:w="120" w:type="dxa"/>
            </w:tcMar>
            <w:vAlign w:val="center"/>
            <w:shd w:fill="F4F6F9"/>
          </w:tcPr>
          <w:p>
            <w:pPr>
              <w:spacing w:after="0"/>
              <w:jc w:val="left"/>
            </w:pPr>
            <w:r>
              <w:rPr>
                <w:rFonts w:ascii="Calibri" w:hAnsi="Calibri" w:eastAsia="Calibri"/>
                <w:b/>
                <w:color w:val="0B2545"/>
                <w:sz w:val="18"/>
              </w:rPr>
              <w:t>Must not happen</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Required field missing</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Stop the affected step; emit field name, row count, and owner.</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Invent a default or silently drop rows.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Join mismatch</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Write unmatched IDs and stop when any required join is incomplete.</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Continue with partial groups or removals.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Sparse retrieval stratum</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Use the documented deterministic refill rule and record counts.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Change quotas after reading judge labels.</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Judge schema failure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Retry twice; then store judge_error and unresolved status.</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Parse free-form text heuristically without logging.</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Constraint conflict</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Preserve contributing edges and route to human QA.</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Force transitive closure through a cannot-link.</w:t>
            </w:r>
          </w:p>
        </w:tc>
      </w:tr>
      <w:tr>
        <w:trPr>
          <w:cantSplit w:val="true"/>
          <w:trHeight w:hRule="atLeast"/>
        </w:trPr>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Metric unsupported by frame</w:t>
            </w:r>
          </w:p>
        </w:tc>
        <w:tc>
          <w:tcPr>
            <w:tcW w:type="dxa" w:w="410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Omit it and state why.</w:t>
            </w:r>
          </w:p>
        </w:tc>
        <w:tc>
          <w:tcPr>
            <w:tcW w:type="dxa" w:w="3160"/>
            <w:tcMar>
              <w:top w:w="80" w:type="dxa"/>
              <w:start w:w="120" w:type="dxa"/>
              <w:bottom w:w="80" w:type="dxa"/>
              <w:end w:w="120" w:type="dxa"/>
            </w:tcMar>
            <w:vAlign w:val="center"/>
          </w:tcPr>
          <w:p>
            <w:pPr>
              <w:spacing w:after="0" w:line="252" w:lineRule="auto"/>
              <w:jc w:val="left"/>
            </w:pPr>
            <w:r>
              <w:rPr>
                <w:rFonts w:ascii="Calibri" w:hAnsi="Calibri" w:eastAsia="Calibri"/>
                <w:color w:val="000000"/>
                <w:sz w:val="17"/>
              </w:rPr>
              <w:t>Rename candidate-pool yield as corpus recall.</w:t>
            </w:r>
          </w:p>
        </w:tc>
      </w:tr>
    </w:tbl>
    <w:p>
      <w:pPr>
        <w:spacing w:after="0"/>
      </w:pPr>
    </w:p>
    <w:p>
      <w:pPr>
        <w:pStyle w:val="Heading1"/>
      </w:pPr>
      <w:r>
        <w:t>Appendix D — Source Proposals</w:t>
      </w:r>
    </w:p>
    <w:p>
      <w:pPr>
        <w:numPr>
          <w:ilvl w:val="0"/>
          <w:numId w:val="26"/>
        </w:numPr>
        <w:jc w:val="left"/>
      </w:pPr>
      <w:r>
        <w:t>Vibhu_Hongsheng Discussion.docx — V0 scope, 1M corpus handoff, anchor and pair budgets, and initial Step 5b candidates.</w:t>
      </w:r>
    </w:p>
    <w:p>
      <w:pPr>
        <w:numPr>
          <w:ilvl w:val="0"/>
          <w:numId w:val="26"/>
        </w:numPr>
        <w:jc w:val="left"/>
      </w:pPr>
      <w:r>
        <w:t>NeMo Curator Dedup Evaluation.docx — the ten-step pipeline structure, judge outputs, partial reference graph concept, and reporting flow.</w:t>
      </w:r>
    </w:p>
    <w:p>
      <w:pPr>
        <w:numPr>
          <w:ilvl w:val="0"/>
          <w:numId w:val="26"/>
        </w:numPr>
        <w:jc w:val="left"/>
      </w:pPr>
      <w:r>
        <w:t xml:space="preserve">Dedup Evaluation Proposal — detailed sampling-frame and candidate-construction rationale: </w:t>
      </w:r>
      <w:hyperlink r:id="rId11">
        <w:r>
          <w:rPr>
            <w:color w:val="2E74B5"/>
            <w:u w:val="single"/>
          </w:rPr>
          <w:t>GitHub proposal</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B6573"/>
        <w:sz w:val="17"/>
      </w:rPr>
      <w:t xml:space="preserve">INTERNAL WORKING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5DCE5"/>
      </w:pBdr>
    </w:pPr>
    <w:r>
      <w:rPr>
        <w:rFonts w:ascii="Calibri" w:hAnsi="Calibri" w:eastAsia="Calibri"/>
        <w:b/>
        <w:color w:val="5B6573"/>
        <w:sz w:val="17"/>
      </w:rPr>
      <w:t>NEMO CURATOR DEDUP EVALUATION  |  V0 OPERATIONAL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Metadata">
    <w:name w:val="Step Metadata"/>
    <w:pPr>
      <w:keepNext/>
      <w:spacing w:before="0" w:after="120"/>
    </w:pPr>
    <w:rPr>
      <w:rFonts w:ascii="Calibri" w:hAnsi="Calibri"/>
      <w:color w:val="5B6573"/>
      <w:sz w:val="19"/>
    </w:rPr>
  </w:style>
  <w:style w:type="paragraph" w:customStyle="1" w:styleId="Callout">
    <w:name w:val="Callout"/>
    <w:pPr>
      <w:keepLines/>
      <w:spacing w:before="100" w:after="180" w:line="276" w:lineRule="auto"/>
      <w:ind w:left="173" w:right="173"/>
      <w:jc w:val="left"/>
    </w:pPr>
    <w:rPr>
      <w:rFonts w:ascii="Calibri" w:hAnsi="Calibri"/>
      <w:sz w:val="21"/>
    </w:rPr>
  </w:style>
  <w:style w:type="paragraph" w:customStyle="1" w:styleId="CodeBlock">
    <w:name w:val="Code Block"/>
    <w:pPr>
      <w:keepLines/>
      <w:spacing w:before="80" w:after="160" w:line="240" w:lineRule="auto"/>
      <w:ind w:left="216" w:right="216"/>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fhschina/nanochat/blob/agent/dedup-evaluation-proposal/reports/dedup_quality/evaluation_propos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NeMo Curator Fuzzy Dedup Evaluation — V0 Operational Proposal</dc:title>
  <dc:subject>Executable proposal for a 1M-document CC-MAIN-2025-26 fuzzy-dedup evaluation pilot</dc:subject>
  <dc:creator>Hongsheng Fang and collaborators</dc:creator>
  <cp:keywords>NeMo Curator, fuzzy deduplication, evaluation, V0, Common Crawl</cp:keywords>
  <dc:description>Generated as an execution-ready working proposal from the team discussion and prior proposals.</dc:description>
  <cp:lastModifiedBy/>
  <cp:revision>1</cp:revision>
  <dcterms:created xsi:type="dcterms:W3CDTF">2013-12-23T23:15:00Z</dcterms:created>
  <dcterms:modified xsi:type="dcterms:W3CDTF">2013-12-23T23:15:00Z</dcterms:modified>
  <cp:category/>
</cp:coreProperties>
</file>