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ns1="http://schemas.openxmlformats.org/markup-compatibility/2006" xmlns:ns2="http://schemas.openxmlformats.org/officeDocument/2006/relationships" xmlns:w="http://schemas.openxmlformats.org/wordprocessingml/2006/main" ns1:Ignorable="w14 wp14">
  <w:body>
    <w:p>
      <w:pPr>
        <w:spacing w:before="240" w:after="80"/>
      </w:pPr>
      <w:r>
        <w:rPr>
          <w:rFonts w:ascii="Calibri" w:hAnsi="Calibri" w:eastAsia="Calibri"/>
          <w:b/>
          <w:color w:val="2E74B5"/>
          <w:sz w:val="20"/>
        </w:rPr>
        <w:t>OPERATIONAL PROPOSAL  |  VERSION 0.3</w:t>
      </w:r>
    </w:p>
    <w:p>
      <w:pPr>
        <w:spacing w:before="0" w:after="100"/>
        <w:keepNext/>
      </w:pPr>
      <w:r>
        <w:rPr>
          <w:rFonts w:ascii="Calibri" w:hAnsi="Calibri" w:eastAsia="Calibri"/>
          <w:b/>
          <w:color w:val="0B2545"/>
          <w:sz w:val="50"/>
        </w:rPr>
        <w:t>NeMo Curator Fuzzy Dedup Evaluation</w:t>
      </w:r>
    </w:p>
    <w:p>
      <w:pPr>
        <w:spacing w:after="300"/>
      </w:pPr>
      <w:r>
        <w:rPr>
          <w:rFonts w:ascii="Calibri" w:hAnsi="Calibri" w:eastAsia="Calibri"/>
          <w:color w:val="5B6573"/>
          <w:sz w:val="26"/>
        </w:rPr>
        <w:t>CC-MAIN-2025-26  •  10,008,061-document operational run  •  End-to-end execution first</w:t>
      </w:r>
    </w:p>
    <w:p>
      <w:pPr>
        <w:spacing w:before="0" w:after="40" w:line="252" w:lineRule="auto"/>
      </w:pPr>
      <w:r>
        <w:rPr>
          <w:rFonts w:ascii="Calibri" w:hAnsi="Calibri" w:eastAsia="Calibri"/>
          <w:b/>
          <w:color w:val="1F4D78"/>
          <w:sz w:val="21"/>
        </w:rPr>
        <w:t xml:space="preserve">Objective: </w:t>
      </w:r>
      <w:r>
        <w:rPr>
          <w:rFonts w:ascii="Calibri" w:hAnsi="Calibri" w:eastAsia="Calibri"/>
          <w:color w:val="000000"/>
          <w:sz w:val="21"/>
        </w:rPr>
        <w:t>Complete a reproducible evaluation workflow; metric quality is not a V0 acceptance gate.</w:t>
      </w:r>
    </w:p>
    <w:p>
      <w:pPr>
        <w:spacing w:before="0" w:after="40" w:line="252" w:lineRule="auto"/>
      </w:pPr>
      <w:r>
        <w:rPr>
          <w:rFonts w:ascii="Calibri" w:hAnsi="Calibri" w:eastAsia="Calibri"/>
          <w:b/>
          <w:color w:val="1F4D78"/>
          <w:sz w:val="21"/>
        </w:rPr>
        <w:t xml:space="preserve">Upstream owner: </w:t>
      </w:r>
      <w:r>
        <w:rPr>
          <w:rFonts w:ascii="Calibri" w:hAnsi="Calibri" w:eastAsia="Calibri"/>
          <w:color w:val="000000"/>
          <w:sz w:val="21"/>
        </w:rPr>
        <w:t>Vibhu — corpus preparation and frozen fuzzy-dedup SUT run (Steps 1–2).</w:t>
      </w:r>
    </w:p>
    <w:p>
      <w:pPr>
        <w:spacing w:before="0" w:after="40" w:line="252" w:lineRule="auto"/>
      </w:pPr>
      <w:r>
        <w:rPr>
          <w:rFonts w:ascii="Calibri" w:hAnsi="Calibri" w:eastAsia="Calibri"/>
          <w:b/>
          <w:color w:val="1F4D78"/>
          <w:sz w:val="21"/>
        </w:rPr>
        <w:t xml:space="preserve">Evaluation owner: </w:t>
      </w:r>
      <w:r>
        <w:rPr>
          <w:rFonts w:ascii="Calibri" w:hAnsi="Calibri" w:eastAsia="Calibri"/>
          <w:color w:val="000000"/>
          <w:sz w:val="21"/>
        </w:rPr>
        <w:t>Hongsheng — recovery, sampling, candidate construction, judging, analysis, and report (Steps 3–10).</w:t>
      </w:r>
    </w:p>
    <w:p>
      <w:pPr>
        <w:spacing w:before="0" w:after="40" w:line="252" w:lineRule="auto"/>
      </w:pPr>
      <w:r>
        <w:rPr>
          <w:rFonts w:ascii="Calibri" w:hAnsi="Calibri" w:eastAsia="Calibri"/>
          <w:b/>
          <w:color w:val="1F4D78"/>
          <w:sz w:val="21"/>
        </w:rPr>
        <w:t xml:space="preserve">Proposal date: </w:t>
      </w:r>
      <w:r>
        <w:rPr>
          <w:rFonts w:ascii="Calibri" w:hAnsi="Calibri" w:eastAsia="Calibri"/>
          <w:color w:val="000000"/>
          <w:sz w:val="21"/>
        </w:rPr>
        <w:t>August 10, 2026</w:t>
      </w:r>
    </w:p>
    <w:p>
      <w:pPr>
        <w:pStyle w:val="Paragraph"/>
      </w:pPr>
      <w:r>
        <w:t>Revision date: August 12, 2026</w:t>
      </w:r>
    </w:p>
    <w:p>
      <w:pPr>
        <w:spacing w:before="0" w:after="40" w:line="252" w:lineRule="auto"/>
      </w:pPr>
      <w:r>
        <w:rPr>
          <w:b/>
        </w:rPr>
        <w:t xml:space="preserve">Status: </w:t>
      </w:r>
      <w:r>
        <w:t>Execution-ready V0.3 proposal for the verified 10M handoff. Core artifacts are operationally accepted; upstream generation is conditionally reproducible until the optional provenance files identified below are copied. Evaluation data contracts and the implementation repository layout remain frozen interfaces.</w:t>
      </w:r>
    </w:p>
    <w:p>
      <w:pPr>
        <w:spacing w:after="200"/>
        <w:pBdr>
          <w:bottom w:val="single" w:sz="12" w:space="6" w:color="2E74B5"/>
        </w:pBdr>
      </w:pPr>
    </w:p>
    <w:p>
      <w:pPr>
        <w:pStyle w:val="Callout"/>
        <w:shd w:fill="EAF2F8"/>
      </w:pPr>
      <w:r>
        <w:rPr>
          <w:b/>
        </w:rPr>
        <w:t xml:space="preserve">V0 decision. </w:t>
      </w:r>
      <w:r>
        <w:t>The benchmark succeeds when every step runs on the frozen 10,008,061-document cohort, every selected pair is traceable to its source, every judgment is machine-valid and auditable, and the final report states its sampling and upstream-reproducibility limits. A high score, a stable production metric, complete corpus recall, or exact regeneration of upstream artifacts is explicitly outside the V0 acceptance gate.</w:t>
      </w:r>
    </w:p>
    <w:p>
      <w:pPr>
        <w:pStyle w:val="Heading1"/>
      </w:pPr>
      <w:r>
        <w:t>1. Purpose and scope</w:t>
      </w:r>
    </w:p>
    <w:p>
      <w:r>
        <w:t>This proposal converts the current evaluation concept into an operational V0 that can be followed by a human engineer or executed by an AI coding agent without silently choosing missing parameters. It preserves the ten-step structure of the earlier NeMo Curator proposal, assigns explicit owners, and defines the required artifacts and validation gates between steps.</w:t>
      </w:r>
    </w:p>
    <w:p>
      <w:pPr>
        <w:pStyle w:val="Heading2"/>
        <w:jc w:val="left"/>
        <w:keepNext/>
      </w:pPr>
      <w:r>
        <w:t>In scope</w:t>
      </w:r>
    </w:p>
    <w:p>
      <w:pPr>
        <w:numPr>
          <w:ilvl w:val="0"/>
          <w:numId w:val="10"/>
        </w:numPr>
        <w:jc w:val="left"/>
      </w:pPr>
      <w:r>
        <w:t>The frozen 10,008,061-document CC-MAIN-2025-26 handoff, declared by the upstream owner to have already undergone exact deduplication.</w:t>
      </w:r>
    </w:p>
    <w:p>
      <w:pPr>
        <w:numPr>
          <w:ilvl w:val="0"/>
          <w:numId w:val="10"/>
        </w:numPr>
        <w:jc w:val="left"/>
      </w:pPr>
      <w:r>
        <w:t>One frozen NeMo Curator fuzzy-deduplication configuration as the system under test (SUT).</w:t>
      </w:r>
    </w:p>
    <w:p>
      <w:pPr>
        <w:numPr>
          <w:ilvl w:val="0"/>
          <w:numId w:val="10"/>
        </w:numPr>
        <w:jc w:val="left"/>
      </w:pPr>
      <w:r>
        <w:t>Two candidate-pair tracks: removal safety (Step 5a) and cross-group missed-duplicate discovery (Step 5b).</w:t>
      </w:r>
    </w:p>
    <w:p>
      <w:pPr>
        <w:numPr>
          <w:ilvl w:val="0"/>
          <w:numId w:val="10"/>
        </w:numPr>
        <w:jc w:val="left"/>
      </w:pPr>
      <w:r>
        <w:t>A blind model judge with structured output, deterministic pair handling, limited human quality assurance, and automated reporting.</w:t>
      </w:r>
    </w:p>
    <w:p>
      <w:pPr>
        <w:numPr>
          <w:ilvl w:val="0"/>
          <w:numId w:val="10"/>
        </w:numPr>
        <w:jc w:val="left"/>
      </w:pPr>
      <w:r>
        <w:t>Operational and diagnostic metrics that accurately describe the sampled frames.</w:t>
      </w:r>
    </w:p>
    <w:p>
      <w:pPr>
        <w:pStyle w:val="Heading2"/>
        <w:jc w:val="left"/>
        <w:keepNext/>
      </w:pPr>
      <w:r>
        <w:t>Explicitly out of scope for V0</w:t>
      </w:r>
    </w:p>
    <w:p>
      <w:pPr>
        <w:numPr>
          <w:ilvl w:val="0"/>
          <w:numId w:val="10"/>
        </w:numPr>
        <w:jc w:val="left"/>
      </w:pPr>
      <w:r>
        <w:t>Corpus-wide recall, a definitive production quality score, or ranking multiple SUT configurations.</w:t>
      </w:r>
    </w:p>
    <w:p>
      <w:pPr>
        <w:numPr>
          <w:ilvl w:val="0"/>
          <w:numId w:val="10"/>
        </w:numPr>
        <w:jc w:val="left"/>
      </w:pPr>
      <w:r>
        <w:t>A complete document-pair ground truth or complete true clusters for the 10,008,061-document cohort.</w:t>
      </w:r>
    </w:p>
    <w:p>
      <w:pPr>
        <w:numPr>
          <w:ilvl w:val="0"/>
          <w:numId w:val="10"/>
        </w:numPr>
        <w:jc w:val="left"/>
      </w:pPr>
      <w:r>
        <w:t>Re-running exact deduplication; the input corpus is already exact-deduplicated.</w:t>
      </w:r>
    </w:p>
    <w:p>
      <w:pPr>
        <w:numPr>
          <w:ilvl w:val="0"/>
          <w:numId w:val="10"/>
        </w:numPr>
        <w:jc w:val="left"/>
      </w:pPr>
      <w:r>
        <w:t>Standalone ExactSubstr, containment, BM25/TF-IDF, SimHash, URL/time, or alternative-parser retrieval.</w:t>
      </w:r>
    </w:p>
    <w:p>
      <w:pPr>
        <w:numPr>
          <w:ilvl w:val="0"/>
          <w:numId w:val="10"/>
        </w:numPr>
        <w:jc w:val="left"/>
      </w:pPr>
      <w:r>
        <w:t>Synthetic counterfactual generation, judge fine-tuning, or active-learning optimization.</w:t>
      </w:r>
    </w:p>
    <w:p>
      <w:pPr>
        <w:pStyle w:val="Heading2"/>
        <w:jc w:val="left"/>
        <w:keepNext/>
      </w:pPr>
      <w:r>
        <w:t>Non-negotiable execution rules</w:t>
      </w:r>
    </w:p>
    <w:p>
      <w:pPr>
        <w:numPr>
          <w:ilvl w:val="0"/>
          <w:numId w:val="10"/>
        </w:numPr>
        <w:jc w:val="left"/>
      </w:pPr>
      <w:r>
        <w:rPr>
          <w:b/>
        </w:rPr>
        <w:t xml:space="preserve">Freeze before running. </w:t>
      </w:r>
      <w:r>
        <w:t>Before Step 3, create evaluation_manifest.json with one evaluation_run_id. Freeze the verified 10M dataset reference, SUT outputs, embedding artifact, parser/normalizer version, all random seeds, retrieval configuration, judge model, prompt version, schema versions, and upstream provenance-availability flags there before pair generation. Reference the evaluation-owned corpus_manifest.json and sut_run_manifest.json wrappers by path or URI and SHA-256 checksum.</w:t>
      </w:r>
    </w:p>
    <w:p>
      <w:pPr>
        <w:numPr>
          <w:ilvl w:val="0"/>
          <w:numId w:val="10"/>
        </w:numPr>
        <w:jc w:val="left"/>
      </w:pPr>
      <w:r>
        <w:rPr>
          <w:b/>
        </w:rPr>
        <w:t>No silent defaults.</w:t>
      </w:r>
      <w:r>
        <w:t xml:space="preserve"> A missing required field or failed join stops the pipeline. The implementation must emit a named validation error rather than guessing.</w:t>
      </w:r>
    </w:p>
    <w:p>
      <w:pPr>
        <w:numPr>
          <w:ilvl w:val="0"/>
          <w:numId w:val="10"/>
        </w:numPr>
        <w:jc w:val="left"/>
      </w:pPr>
      <w:r>
        <w:rPr>
          <w:b/>
        </w:rPr>
        <w:t>Judge once, retain every provenance.</w:t>
      </w:r>
      <w:r>
        <w:t xml:space="preserve"> Canonicalize selected pairs, send each unique pair to the judge once, and preserve all tracks, retrievers, ranks, scores, strata, and selection records.</w:t>
      </w:r>
    </w:p>
    <w:p>
      <w:pPr>
        <w:numPr>
          <w:ilvl w:val="0"/>
          <w:numId w:val="10"/>
        </w:numPr>
        <w:jc w:val="left"/>
      </w:pPr>
      <w:r>
        <w:rPr>
          <w:b/>
        </w:rPr>
        <w:t>Keep statistical frames separate.</w:t>
      </w:r>
      <w:r>
        <w:t xml:space="preserve"> Step 5a and Step 5b answer different questions. Their unweighted raw counts must not be combined into one headline confusion matrix.</w:t>
      </w:r>
    </w:p>
    <w:p>
      <w:pPr>
        <w:numPr>
          <w:ilvl w:val="0"/>
          <w:numId w:val="10"/>
        </w:numPr>
        <w:jc w:val="left"/>
      </w:pPr>
      <w:r>
        <w:rPr>
          <w:b/>
        </w:rPr>
        <w:t>Blind the judge.</w:t>
      </w:r>
      <w:r>
        <w:t xml:space="preserve"> The judge must not see predicted group IDs, KEEP/REMOVE actions, retriever names, retrieval scores, sampling weights, or track membership.</w:t>
      </w:r>
    </w:p>
    <w:p>
      <w:pPr>
        <w:pStyle w:val="Heading1"/>
      </w:pPr>
      <w:r>
        <w:t>2. Process at a glance</w:t>
      </w:r>
    </w:p>
    <w:tbl>
      <w:tblPr>
        <w:tblStyle w:val="TableGrid"/>
        <w:tblW w:type="dxa" w:w="9360"/>
        <w:tblLayout w:type="fixed"/>
        <w:tblLook w:firstColumn="1" w:firstRow="1" w:lastColumn="0" w:lastRow="0" w:noHBand="0" w:noVBand="1" w:val="04A0"/>
        <w:jc w:val="left"/>
        <w:tblInd w:w="120" w:type="dxa"/>
      </w:tblPr>
      <w:tblGrid>
        <w:gridCol w:w="650"/>
        <w:gridCol w:w="1250"/>
        <w:gridCol w:w="4760"/>
        <w:gridCol w:w="2700"/>
      </w:tblGrid>
      <w:tr>
        <w:trPr>
          <w:trHeight w:hRule="atLeast"/>
          <w:tblHeader w:val="true"/>
          <w:cantSplit w:val="true"/>
        </w:trPr>
        <w:tc>
          <w:tcPr>
            <w:tcW w:type="dxa" w:w="650"/>
            <w:tcMar>
              <w:top w:w="80" w:type="dxa"/>
              <w:start w:w="120" w:type="dxa"/>
              <w:bottom w:w="80" w:type="dxa"/>
              <w:end w:w="120" w:type="dxa"/>
            </w:tcMar>
            <w:vAlign w:val="center"/>
            <w:shd w:fill="F4F6F9"/>
          </w:tcPr>
          <w:p>
            <w:pPr>
              <w:spacing w:after="0"/>
              <w:jc w:val="center"/>
            </w:pPr>
            <w:r>
              <w:rPr>
                <w:rFonts w:ascii="Calibri" w:hAnsi="Calibri" w:eastAsia="Calibri"/>
                <w:b/>
                <w:color w:val="0B2545"/>
                <w:sz w:val="18"/>
              </w:rPr>
              <w:t>Step</w:t>
            </w:r>
          </w:p>
        </w:tc>
        <w:tc>
          <w:tcPr>
            <w:tcW w:type="dxa" w:w="1250"/>
            <w:tcMar>
              <w:top w:w="80" w:type="dxa"/>
              <w:start w:w="120" w:type="dxa"/>
              <w:bottom w:w="80" w:type="dxa"/>
              <w:end w:w="120" w:type="dxa"/>
            </w:tcMar>
            <w:vAlign w:val="center"/>
            <w:shd w:fill="F4F6F9"/>
          </w:tcPr>
          <w:p>
            <w:pPr>
              <w:spacing w:after="0"/>
              <w:jc w:val="left"/>
            </w:pPr>
            <w:r>
              <w:rPr>
                <w:rFonts w:ascii="Calibri" w:hAnsi="Calibri" w:eastAsia="Calibri"/>
                <w:b/>
                <w:color w:val="0B2545"/>
                <w:sz w:val="18"/>
              </w:rPr>
              <w:t>Owner</w:t>
            </w:r>
          </w:p>
        </w:tc>
        <w:tc>
          <w:tcPr>
            <w:tcW w:type="dxa" w:w="4760"/>
            <w:tcMar>
              <w:top w:w="80" w:type="dxa"/>
              <w:start w:w="120" w:type="dxa"/>
              <w:bottom w:w="80" w:type="dxa"/>
              <w:end w:w="120" w:type="dxa"/>
            </w:tcMar>
            <w:vAlign w:val="center"/>
            <w:shd w:fill="F4F6F9"/>
          </w:tcPr>
          <w:p>
            <w:pPr>
              <w:spacing w:after="0"/>
              <w:jc w:val="left"/>
            </w:pPr>
            <w:r>
              <w:rPr>
                <w:rFonts w:ascii="Calibri" w:hAnsi="Calibri" w:eastAsia="Calibri"/>
                <w:b/>
                <w:color w:val="0B2545"/>
                <w:sz w:val="18"/>
              </w:rPr>
              <w:t>Action</w:t>
            </w:r>
          </w:p>
        </w:tc>
        <w:tc>
          <w:tcPr>
            <w:tcW w:type="dxa" w:w="2700"/>
            <w:tcMar>
              <w:top w:w="80" w:type="dxa"/>
              <w:start w:w="120" w:type="dxa"/>
              <w:bottom w:w="80" w:type="dxa"/>
              <w:end w:w="120" w:type="dxa"/>
            </w:tcMar>
            <w:vAlign w:val="center"/>
            <w:shd w:fill="F4F6F9"/>
          </w:tcPr>
          <w:p>
            <w:pPr>
              <w:spacing w:after="0"/>
              <w:jc w:val="left"/>
            </w:pPr>
            <w:r>
              <w:rPr>
                <w:rFonts w:ascii="Calibri" w:hAnsi="Calibri" w:eastAsia="Calibri"/>
                <w:b/>
                <w:color w:val="0B2545"/>
                <w:sz w:val="18"/>
              </w:rPr>
              <w:t>Blocking output</w:t>
            </w:r>
          </w:p>
        </w:tc>
      </w:tr>
      <w:tr>
        <w:trPr>
          <w:cantSplit w:val="true"/>
          <w:trHeight w:hRule="atLeast"/>
        </w:trPr>
        <w:tc>
          <w:tcPr>
            <w:tcW w:type="dxa" w:w="65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1</w:t>
            </w:r>
          </w:p>
        </w:tc>
        <w:tc>
          <w:tcPr>
            <w:tcW w:type="dxa" w:w="125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Vibhu</w:t>
            </w:r>
          </w:p>
        </w:tc>
        <w:tc>
          <w:tcPr>
            <w:tcW w:type="dxa" w:w="4760"/>
            <w:tcMar>
              <w:top w:w="80" w:type="dxa"/>
              <w:start w:w="120" w:type="dxa"/>
              <w:bottom w:w="80" w:type="dxa"/>
              <w:end w:w="120" w:type="dxa"/>
            </w:tcMar>
            <w:vAlign w:val="center"/>
          </w:tcPr>
          <w:p>
            <w:r>
              <w:t>Validate and register the upstream exact-deduplicated 10,008,061-document corpus and normalized embeddings.</w:t>
            </w:r>
          </w:p>
        </w:tc>
        <w:tc>
          <w:tcPr>
            <w:tcW w:type="dxa" w:w="2700"/>
            <w:tcMar>
              <w:top w:w="80" w:type="dxa"/>
              <w:start w:w="120" w:type="dxa"/>
              <w:bottom w:w="80" w:type="dxa"/>
              <w:end w:w="120" w:type="dxa"/>
            </w:tcMar>
            <w:vAlign w:val="center"/>
          </w:tcPr>
          <w:p>
            <w:r>
              <w:t>Validated 10M corpus wrapper manifest</w:t>
            </w:r>
          </w:p>
        </w:tc>
      </w:tr>
      <w:tr>
        <w:trPr>
          <w:cantSplit w:val="true"/>
          <w:trHeight w:hRule="atLeast"/>
        </w:trPr>
        <w:tc>
          <w:tcPr>
            <w:tcW w:type="dxa" w:w="65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2</w:t>
            </w:r>
          </w:p>
        </w:tc>
        <w:tc>
          <w:tcPr>
            <w:tcW w:type="dxa" w:w="125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Vibhu</w:t>
            </w:r>
          </w:p>
        </w:tc>
        <w:tc>
          <w:tcPr>
            <w:tcW w:type="dxa" w:w="476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Run the frozen fuzzy-dedup SUT and retain groups, removal IDs, and cache artifacts.</w:t>
            </w:r>
          </w:p>
        </w:tc>
        <w:tc>
          <w:tcPr>
            <w:tcW w:type="dxa" w:w="270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SUT run bundle</w:t>
            </w:r>
          </w:p>
        </w:tc>
      </w:tr>
      <w:tr>
        <w:trPr>
          <w:cantSplit w:val="true"/>
          <w:trHeight w:hRule="atLeast"/>
        </w:trPr>
        <w:tc>
          <w:tcPr>
            <w:tcW w:type="dxa" w:w="65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3</w:t>
            </w:r>
          </w:p>
        </w:tc>
        <w:tc>
          <w:tcPr>
            <w:tcW w:type="dxa" w:w="125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Hongsheng</w:t>
            </w:r>
          </w:p>
        </w:tc>
        <w:tc>
          <w:tcPr>
            <w:tcW w:type="dxa" w:w="476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Recover document-level predicted outcomes and logical KEEP/REMOVE decisions.</w:t>
            </w:r>
          </w:p>
        </w:tc>
        <w:tc>
          <w:tcPr>
            <w:tcW w:type="dxa" w:w="270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Document outcome table</w:t>
            </w:r>
          </w:p>
        </w:tc>
      </w:tr>
      <w:tr>
        <w:trPr>
          <w:cantSplit w:val="true"/>
          <w:trHeight w:hRule="atLeast"/>
        </w:trPr>
        <w:tc>
          <w:tcPr>
            <w:tcW w:type="dxa" w:w="65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4</w:t>
            </w:r>
          </w:p>
        </w:tc>
        <w:tc>
          <w:tcPr>
            <w:tcW w:type="dxa" w:w="125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Hongsheng</w:t>
            </w:r>
          </w:p>
        </w:tc>
        <w:tc>
          <w:tcPr>
            <w:tcW w:type="dxa" w:w="476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Select 1,000 reproducible anchors with group-aware stratification.</w:t>
            </w:r>
          </w:p>
        </w:tc>
        <w:tc>
          <w:tcPr>
            <w:tcW w:type="dxa" w:w="270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Anchor table</w:t>
            </w:r>
          </w:p>
        </w:tc>
      </w:tr>
      <w:tr>
        <w:trPr>
          <w:cantSplit w:val="true"/>
          <w:trHeight w:hRule="atLeast"/>
        </w:trPr>
        <w:tc>
          <w:tcPr>
            <w:tcW w:type="dxa" w:w="65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5a</w:t>
            </w:r>
          </w:p>
        </w:tc>
        <w:tc>
          <w:tcPr>
            <w:tcW w:type="dxa" w:w="125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Hongsheng</w:t>
            </w:r>
          </w:p>
        </w:tc>
        <w:tc>
          <w:tcPr>
            <w:tcW w:type="dxa" w:w="476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Sample 10K actual removal decisions; optionally reserve 500 minimum-diff risk pairs.</w:t>
            </w:r>
          </w:p>
        </w:tc>
        <w:tc>
          <w:tcPr>
            <w:tcW w:type="dxa" w:w="270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Removal pair frame</w:t>
            </w:r>
          </w:p>
        </w:tc>
      </w:tr>
      <w:tr>
        <w:trPr>
          <w:cantSplit w:val="true"/>
          <w:trHeight w:hRule="atLeast"/>
        </w:trPr>
        <w:tc>
          <w:tcPr>
            <w:tcW w:type="dxa" w:w="65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5b</w:t>
            </w:r>
          </w:p>
        </w:tc>
        <w:tc>
          <w:tcPr>
            <w:tcW w:type="dxa" w:w="125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Hongsheng</w:t>
            </w:r>
          </w:p>
        </w:tc>
        <w:tc>
          <w:tcPr>
            <w:tcW w:type="dxa" w:w="476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Retrieve up to 10K cross-group pairs using relaxed lexical and semantic channels.</w:t>
            </w:r>
          </w:p>
        </w:tc>
        <w:tc>
          <w:tcPr>
            <w:tcW w:type="dxa" w:w="270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Cross-group pair frame</w:t>
            </w:r>
          </w:p>
        </w:tc>
      </w:tr>
      <w:tr>
        <w:trPr>
          <w:cantSplit w:val="true"/>
          <w:trHeight w:hRule="atLeast"/>
        </w:trPr>
        <w:tc>
          <w:tcPr>
            <w:tcW w:type="dxa" w:w="65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6</w:t>
            </w:r>
          </w:p>
        </w:tc>
        <w:tc>
          <w:tcPr>
            <w:tcW w:type="dxa" w:w="125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Hongsheng</w:t>
            </w:r>
          </w:p>
        </w:tc>
        <w:tc>
          <w:tcPr>
            <w:tcW w:type="dxa" w:w="476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Judge every unique selected pair with a blind, schema-constrained model prompt.</w:t>
            </w:r>
          </w:p>
        </w:tc>
        <w:tc>
          <w:tcPr>
            <w:tcW w:type="dxa" w:w="270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Validated judge results</w:t>
            </w:r>
          </w:p>
        </w:tc>
      </w:tr>
      <w:tr>
        <w:trPr>
          <w:cantSplit w:val="true"/>
          <w:trHeight w:hRule="atLeast"/>
        </w:trPr>
        <w:tc>
          <w:tcPr>
            <w:tcW w:type="dxa" w:w="65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7</w:t>
            </w:r>
          </w:p>
        </w:tc>
        <w:tc>
          <w:tcPr>
            <w:tcW w:type="dxa" w:w="125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Hongsheng</w:t>
            </w:r>
          </w:p>
        </w:tc>
        <w:tc>
          <w:tcPr>
            <w:tcW w:type="dxa" w:w="476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Build a partial judged constraint graph and surface label conflicts.</w:t>
            </w:r>
          </w:p>
        </w:tc>
        <w:tc>
          <w:tcPr>
            <w:tcW w:type="dxa" w:w="270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Partial reference graph</w:t>
            </w:r>
          </w:p>
        </w:tc>
      </w:tr>
      <w:tr>
        <w:trPr>
          <w:cantSplit w:val="true"/>
          <w:trHeight w:hRule="atLeast"/>
        </w:trPr>
        <w:tc>
          <w:tcPr>
            <w:tcW w:type="dxa" w:w="65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8</w:t>
            </w:r>
          </w:p>
        </w:tc>
        <w:tc>
          <w:tcPr>
            <w:tcW w:type="dxa" w:w="125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Hongsheng</w:t>
            </w:r>
          </w:p>
        </w:tc>
        <w:tc>
          <w:tcPr>
            <w:tcW w:type="dxa" w:w="476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Join judgments to SUT predictions and classify pair outcomes by track.</w:t>
            </w:r>
          </w:p>
        </w:tc>
        <w:tc>
          <w:tcPr>
            <w:tcW w:type="dxa" w:w="270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Comparison table</w:t>
            </w:r>
          </w:p>
        </w:tc>
      </w:tr>
      <w:tr>
        <w:trPr>
          <w:cantSplit w:val="true"/>
          <w:trHeight w:hRule="atLeast"/>
        </w:trPr>
        <w:tc>
          <w:tcPr>
            <w:tcW w:type="dxa" w:w="65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9</w:t>
            </w:r>
          </w:p>
        </w:tc>
        <w:tc>
          <w:tcPr>
            <w:tcW w:type="dxa" w:w="125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Hongsheng</w:t>
            </w:r>
          </w:p>
        </w:tc>
        <w:tc>
          <w:tcPr>
            <w:tcW w:type="dxa" w:w="476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Compute V0 operational, safety, and candidate-pool diagnostics.</w:t>
            </w:r>
          </w:p>
        </w:tc>
        <w:tc>
          <w:tcPr>
            <w:tcW w:type="dxa" w:w="270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Metrics bundle</w:t>
            </w:r>
          </w:p>
        </w:tc>
      </w:tr>
      <w:tr>
        <w:trPr>
          <w:cantSplit w:val="true"/>
          <w:trHeight w:hRule="atLeast"/>
        </w:trPr>
        <w:tc>
          <w:tcPr>
            <w:tcW w:type="dxa" w:w="65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10</w:t>
            </w:r>
          </w:p>
        </w:tc>
        <w:tc>
          <w:tcPr>
            <w:tcW w:type="dxa" w:w="125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Hongsheng</w:t>
            </w:r>
          </w:p>
        </w:tc>
        <w:tc>
          <w:tcPr>
            <w:tcW w:type="dxa" w:w="476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Publish the reproducible report, artifacts, limitations, and next-version backlog.</w:t>
            </w:r>
          </w:p>
        </w:tc>
        <w:tc>
          <w:tcPr>
            <w:tcW w:type="dxa" w:w="270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Final V0 report</w:t>
            </w:r>
          </w:p>
        </w:tc>
      </w:tr>
    </w:tbl>
    <w:p>
      <w:pPr>
        <w:spacing w:after="0"/>
      </w:pPr>
    </w:p>
    <w:p>
      <w:pPr>
        <w:pStyle w:val="Callout"/>
        <w:shd w:fill="FFF7E0"/>
      </w:pPr>
      <w:r>
        <w:rPr>
          <w:b/>
        </w:rPr>
        <w:t xml:space="preserve">Handoff rule. </w:t>
      </w:r>
      <w:r>
        <w:t>Step 3 starts only after Hongsheng can read the frozen upstream artifacts, independently verifies the required counts, schemas, ID joins, and checksums, and creates evaluation-owned corpus_manifest.json and sut_run_manifest.json wrappers. Missing optional provenance must be recorded as conditionally reproducible; it does not block this V0 when the required output artifacts pass validation.</w:t>
      </w:r>
    </w:p>
    <w:p>
      <w:pPr>
        <w:pStyle w:val="Heading2"/>
      </w:pPr>
      <w:r>
        <w:t>Required implementation repository layout</w:t>
      </w:r>
    </w:p>
    <w:p>
      <w:pPr>
        <w:pStyle w:val="Callout"/>
      </w:pPr>
      <w:r>
        <w:t>Implementation contract. A human engineer or AI coding agent must create and maintain the required modules under eval/dedup/ using the exact directory and filename layout below. Required nodes may not be renamed, moved, or replaced by an alternative top-level organization. Additional private helper modules are allowed only inside the responsible domain package and must be documented in README.md.</w:t>
      </w:r>
    </w:p>
    <w:p>
      <w:pPr>
        <w:pStyle w:val="CodeBlock"/>
      </w:pPr>
      <w:r>
        <w:t>eval/dedup/</w:t>
        <w:br/>
        <w:t>├── README.md</w:t>
        <w:br/>
        <w:t>├── __init__.py</w:t>
        <w:br/>
        <w:t>├── __main__.py</w:t>
        <w:br/>
        <w:t>├── cli.py</w:t>
        <w:br/>
        <w:t>├── run.py</w:t>
        <w:br/>
        <w:t>├── config.py</w:t>
        <w:br/>
        <w:t>├── contracts.py</w:t>
        <w:br/>
        <w:t>├── validation.py</w:t>
        <w:br/>
        <w:t>├── report.py</w:t>
        <w:br/>
        <w:t>│</w:t>
        <w:br/>
        <w:t>├── handoff/                       # Steps 1–2</w:t>
        <w:br/>
        <w:t>│   ├── __init__.py</w:t>
        <w:br/>
        <w:t>│   ├── manifests.py</w:t>
        <w:br/>
        <w:t>│   ├── corpus.py</w:t>
        <w:br/>
        <w:t>│   └── sut.py</w:t>
        <w:br/>
        <w:t>│</w:t>
        <w:br/>
        <w:t>├── pair_construction/             # Steps 3–5</w:t>
        <w:br/>
        <w:t>│   ├── __init__.py</w:t>
        <w:br/>
        <w:t>│   ├── outcomes.py                # Step 3</w:t>
        <w:br/>
        <w:t>│   ├── anchors.py                 # Step 4</w:t>
        <w:br/>
        <w:t>│   ├── removal_pairs.py           # Step 5a</w:t>
        <w:br/>
        <w:t>│   ├── canonicalize.py            # Step 5c + pair/provenance</w:t>
        <w:br/>
        <w:t>│   └── retrieval/                 # Step 5b</w:t>
        <w:br/>
        <w:t>│       ├── __init__.py</w:t>
        <w:br/>
        <w:t>│       ├── lexical.py</w:t>
        <w:br/>
        <w:t>│       ├── semantic.py</w:t>
        <w:br/>
        <w:t>│       └── selection.py</w:t>
        <w:br/>
        <w:t>│</w:t>
        <w:br/>
        <w:t>├── judging/                       # Step 6</w:t>
        <w:br/>
        <w:t>│   ├── __init__.py</w:t>
        <w:br/>
        <w:t>│   ├── client.py</w:t>
        <w:br/>
        <w:t>│   ├── payload.py</w:t>
        <w:br/>
        <w:t>│   ├── schema.py</w:t>
        <w:br/>
        <w:t>│   ├── long_document.py</w:t>
        <w:br/>
        <w:t>│   └── run.py</w:t>
        <w:br/>
        <w:t>│</w:t>
        <w:br/>
        <w:t>├── analysis/                      # Steps 7–9</w:t>
        <w:br/>
        <w:t>│   ├── __init__.py</w:t>
        <w:br/>
        <w:t>│   ├── constraint_graph.py        # Step 7</w:t>
        <w:br/>
        <w:t>│   ├── comparison.py              # Step 8</w:t>
        <w:br/>
        <w:t>│   └── metrics.py                 # Step 9</w:t>
        <w:br/>
        <w:t>│</w:t>
        <w:br/>
        <w:t>├── resources/</w:t>
        <w:br/>
        <w:t>│   ├── v0_config.example.json</w:t>
        <w:br/>
        <w:t>│   ├── judge_prompt_v0.txt</w:t>
        <w:br/>
        <w:t>│   ├── judge_output_schema_v0.json</w:t>
        <w:br/>
        <w:t>│   └── final_report_v0.md</w:t>
        <w:br/>
        <w:t>│</w:t>
        <w:br/>
        <w:t>└── docs/</w:t>
        <w:br/>
        <w:t xml:space="preserve">    └── reference/</w:t>
      </w:r>
    </w:p>
    <w:p>
      <w:pPr>
        <w:pStyle w:val="Heading3"/>
      </w:pPr>
      <w:r>
        <w:t>Module ownership and boundaries</w:t>
      </w:r>
    </w:p>
    <w:p>
      <w:pPr>
        <w:pStyle w:val="Paragraph"/>
      </w:pPr>
      <w:r>
        <w:t>handoff/ owns the Step 1–2 input boundary. manifests.py creates, resolves, and verifies evaluation_manifest.json plus the evaluation-owned corpus_manifest.json and sut_run_manifest.json wrappers; corpus.py validates and reads the frozen corpus and embeddings; sut.py validates and reads frozen SUT groups, removal IDs, mappings, and any available caches or logs. V0 evaluation code consumes validated upstream outputs; it does not silently recreate the corpus, rerun the SUT, or fabricate missing provenance.</w:t>
      </w:r>
    </w:p>
    <w:p>
      <w:pPr>
        <w:pStyle w:val="Paragraph"/>
      </w:pPr>
      <w:r>
        <w:t>pair_construction/ owns Steps 3–5. outcomes.py creates document_outcomes.parquet; anchors.py implements the frozen anchor design; removal_pairs.py builds Track 5a; retrieval/ implements the lexical and semantic Track 5b channels plus deterministic selection; canonicalize.py implements cp1 canonical IDs and writes the authoritative candidate_pairs.parquet and pair_provenance.parquet contracts.</w:t>
      </w:r>
    </w:p>
    <w:p>
      <w:pPr>
        <w:pStyle w:val="Paragraph"/>
      </w:pPr>
      <w:r>
        <w:t>judging/ owns Step 6. payload.py constructs the blind visible payload and payload hash; long_document.py selects deterministic evidence windows; schema.py defines and validates structured outputs; client.py isolates the model-provider interface; judging/run.py performs batching, retry, resume, and result accounting. Judging code must not expose hidden SUT or retrieval provenance to the model.</w:t>
      </w:r>
    </w:p>
    <w:p>
      <w:pPr>
        <w:pStyle w:val="Paragraph"/>
      </w:pPr>
      <w:r>
        <w:t>analysis/ owns Steps 7–9. constraint_graph.py builds the partial must-link/cannot-link graph and conflict records; comparison.py performs the post-judge joins and restores Track 5a direction; metrics.py computes frame-valid metrics and slices while keeping Track 5a and Track 5b separate.</w:t>
      </w:r>
    </w:p>
    <w:p>
      <w:pPr>
        <w:pStyle w:val="Paragraph"/>
      </w:pPr>
      <w:r>
        <w:t>At the package root, __main__.py delegates python -m eval.dedup to cli.py; cli.py defines stable user-facing commands; run.py orchestrates ordered, resumable execution without absorbing domain logic; config.py loads frozen configuration without silent defaults; contracts.py defines shared artifact columns, enums, IDs, and schema versions; validation.py contains reusable blocking invariants; report.py implements Step 10 using resources/final_report_v0.md.</w:t>
      </w:r>
    </w:p>
    <w:p>
      <w:pPr>
        <w:pStyle w:val="Paragraph"/>
      </w:pPr>
      <w:r>
        <w:t>resources/ contains version-controlled example configuration, the exact versioned judge prompt, judge output schema, and report template. docs/reference/ contains design-source documents only. Runtime corpus shards, embeddings, candidate indexes, model responses, run artifacts, and reports must be written under the configured external run root described in Step 10, never inside eval/dedup/.</w:t>
      </w:r>
    </w:p>
    <w:p>
      <w:pPr>
        <w:pStyle w:val="Heading3"/>
      </w:pPr>
      <w:r>
        <w:t>Rules for AI-generated implementation</w:t>
      </w:r>
    </w:p>
    <w:p>
      <w:pPr>
        <w:pStyle w:val="Paragraph"/>
      </w:pPr>
      <w:r>
        <w:t>The coding agent must implement against this layout and must not create competing top-level stages/, data/, metric/, metrics/, pipeline/, or src/ trees under eval/dedup/. The term data/ is reserved for the per-run artifact bundle, not source code. The required package marker names are __init__.py and the module entry point is __main__.py.</w:t>
      </w:r>
    </w:p>
    <w:p>
      <w:pPr>
        <w:pStyle w:val="Paragraph"/>
      </w:pPr>
      <w:r>
        <w:t>Tests live in tests/eval/dedup/ and mirror these responsibility boundaries. Every required module receives CPU-only unit coverage for deterministic logic and validation gates where practical; GPU, distributed retrieval, and live-judge tests are explicitly marked and kept separate. The AI agent updates README.md whenever it adds a command, artifact, module, configuration field, or dependency.</w:t>
      </w:r>
    </w:p>
    <w:p>
      <w:pPr>
        <w:pStyle w:val="Paragraph"/>
      </w:pPr>
      <w:r>
        <w:t>A required module may begin as a documented interface during incremental development, but the final V0 run may not treat an unimplemented placeholder, silent pass-through, or fabricated artifact as completion. Imports must remain side-effect free, and importing eval.dedup must not start a run, load a model, read the corpus, or create files.</w:t>
      </w:r>
    </w:p>
    <w:p>
      <w:pPr>
        <w:pStyle w:val="Heading1"/>
        <w:keepNext/>
      </w:pPr>
      <w:r>
        <w:t>Step 1 — Validate and Register the 10M Corpus Handoff</w:t>
      </w:r>
    </w:p>
    <w:p>
      <w:pPr>
        <w:pStyle w:val="StepMetadata"/>
        <w:keepNext/>
      </w:pPr>
      <w:r>
        <w:t>OWNER  Vibhu     |     GATE  CONDITIONALLY PASSED — core integrity verified; optional provenance gaps recorded</w:t>
      </w:r>
    </w:p>
    <w:p>
      <w:pPr>
        <w:pStyle w:val="Heading2"/>
        <w:jc w:val="left"/>
        <w:keepNext/>
      </w:pPr>
      <w:r>
        <w:t>Goal</w:t>
      </w:r>
    </w:p>
    <w:p>
      <w:r>
        <w:t>Register one stable, upstream exact-deduplicated 10,008,061-document evaluation cohort, its normalized document embeddings, and enough metadata to reproduce joins, slices, and retrieval. Step 1 defines the evaluated population; later steps must not silently add or remove documents.</w:t>
      </w:r>
    </w:p>
    <w:p>
      <w:pPr>
        <w:pStyle w:val="Heading2"/>
        <w:jc w:val="left"/>
        <w:keepNext/>
      </w:pPr>
      <w:r>
        <w:t>Inputs</w:t>
      </w:r>
    </w:p>
    <w:p>
      <w:pPr>
        <w:numPr>
          <w:ilvl w:val="0"/>
          <w:numId w:val="10"/>
        </w:numPr>
        <w:jc w:val="left"/>
      </w:pPr>
      <w:r>
        <w:t>CC-MAIN-2025-26 source data and the extraction output used by the current NeMo Curator experiment.</w:t>
      </w:r>
    </w:p>
    <w:p>
      <w:pPr>
        <w:numPr>
          <w:ilvl w:val="0"/>
          <w:numId w:val="10"/>
        </w:numPr>
        <w:jc w:val="left"/>
      </w:pPr>
      <w:r>
        <w:t>The upstream owner's declaration that the raw corpus was exact-deduplicated before this handoff. Exact-dedup execution and evaluation are outside V0 scope; version/configuration provenance is optional metadata rather than a blocking artifact.</w:t>
      </w:r>
    </w:p>
    <w:p>
      <w:pPr>
        <w:numPr>
          <w:ilvl w:val="0"/>
          <w:numId w:val="10"/>
        </w:numPr>
        <w:jc w:val="left"/>
      </w:pPr>
      <w:r>
        <w:t>The delivered cleaned-text shards, stable _curator_dedup_id mapping, crawl metadata, fuzzy outputs, normalized embeddings, and bounded vector hard-negative artifact rooted at /raid/vjawa/dedup_eval_10M/.</w:t>
      </w:r>
    </w:p>
    <w:p>
      <w:pPr>
        <w:pStyle w:val="Heading2"/>
      </w:pPr>
      <w:r>
        <w:t>Current verified 10M handoff baseline</w:t>
      </w:r>
    </w:p>
    <w:p>
      <w:pPr/>
      <w:r>
        <w:t>Frozen cohort: CC-MAIN-2025-26, 10,008,061 documents, 709 manifest-selected extracted-text Parquet shards, with inclusive global IDs 0–10,008,060 defined by _curator_dedup_id = manifest.start_id + physical_row_index.</w:t>
      </w:r>
    </w:p>
    <w:p>
      <w:pPr/>
      <w:r>
        <w:t>Fuzzy SUT outputs: 2,021,220 grouped documents in 352,601 non-singleton groups, 1,668,619 removal IDs, 7,986,841 singletons, and 8,339,442 logical retained documents. Validation confirms that grouped and singleton IDs partition the cohort and every fuzzy group has exactly one keeper.</w:t>
      </w:r>
    </w:p>
    <w:p>
      <w:pPr/>
      <w:r>
        <w:t>Embedding artifact: google/embeddinggemma-300m, 768-dimensional L2-normalized float32 matrix with one row per _curator_dedup_id and SHA-256 d2830786a29c8e3c92b8549e031abf0dd6c302b142a448404a4fb07be951ca6a. The delivered 530 vector hard negatives are accepted as a supplemental upstream diagnostic stream, not as a substitute for the Step 4 anchor design.</w:t>
      </w:r>
    </w:p>
    <w:p>
      <w:pPr/>
      <w:r>
        <w:t>Independent transfer audit: 709 extracted-text shards, 32 singleton parts, one judge-prompt contract, and the embedding matrix—743 files totaling approximately 64.61 GiB—passed SHA-256 validation with zero mismatches. Core data status is operationally ready.</w:t>
      </w:r>
    </w:p>
    <w:p>
      <w:pPr>
        <w:pStyle w:val="Callout"/>
      </w:pPr>
      <w:r>
        <w:t>Reproducibility status: conditionally reproducible. A copied fuzzy resolved_config.json, embedding run_manifest.json, retrieval attestation.json, and completion markers are recommended but not required to run Steps 3–10. Their absence limits exact upstream regeneration and selection-design audit; it does not invalidate the verified outputs. The evaluation-owned judge run does not consume Vibhu's unfinished judge results.</w:t>
      </w:r>
    </w:p>
    <w:p>
      <w:pPr>
        <w:pStyle w:val="Callout"/>
      </w:pPr>
      <w:r>
        <w:t>Scale limitation: the frozen manifest describes this 10M rung as approximately 0.419% of the expected full corpus and sets corpus_level_claims_authorized = false. All V0 claims therefore remain bounded to the frozen cohort and the sampled evaluation frames.</w:t>
      </w:r>
    </w:p>
    <w:p>
      <w:pPr>
        <w:pStyle w:val="Heading2"/>
        <w:jc w:val="left"/>
        <w:keepNext/>
      </w:pPr>
      <w:r>
        <w:t>Required procedure</w:t>
      </w:r>
    </w:p>
    <w:p>
      <w:pPr>
        <w:numPr>
          <w:ilvl w:val="0"/>
          <w:numId w:val="12"/>
        </w:numPr>
        <w:jc w:val="left"/>
      </w:pPr>
      <w:r>
        <w:t>Consume only the 709 shards listed in manifest/dense_10m_explicit.json. The frozen selection rule is lexicographic_committed_object_prefix with a 10,000,000-row target and documented overshoot to 10,008,061 rows. Never glob the extraction root or include later and staging shards.</w:t>
      </w:r>
    </w:p>
    <w:p>
      <w:pPr>
        <w:numPr>
          <w:ilvl w:val="0"/>
          <w:numId w:val="12"/>
        </w:numPr>
        <w:jc w:val="left"/>
      </w:pPr>
      <w:r>
        <w:t>Adopt _curator_dedup_id as the upstream physical identifier and expose it as logical doc_id in evaluation-owned schemas. Verify uniqueness and the complete range 0–10,008,060. The same value must join corpus rows, embeddings, fuzzy groups, removal IDs, hard negatives, and all downstream tables.</w:t>
      </w:r>
    </w:p>
    <w:p>
      <w:pPr>
        <w:numPr>
          <w:ilvl w:val="0"/>
          <w:numId w:val="12"/>
        </w:numPr>
        <w:jc w:val="left"/>
      </w:pPr>
      <w:r>
        <w:t>Record input_preconditions.exact_deduplicated = true and exact_dedup_in_evaluation_scope = false from the upstream owner's declaration. Record exact-dedup version/configuration only if supplied; do not block V0 or re-run exact deduplication.</w:t>
      </w:r>
    </w:p>
    <w:p>
      <w:pPr>
        <w:numPr>
          <w:ilvl w:val="0"/>
          <w:numId w:val="12"/>
        </w:numPr>
        <w:jc w:val="left"/>
      </w:pPr>
      <w:r>
        <w:t>Write the document data as Parquet. Do not truncate text for storage. Keep the cleaned text sent to fuzzy dedup and the metadata needed for judging and slices.</w:t>
      </w:r>
    </w:p>
    <w:p>
      <w:pPr>
        <w:numPr>
          <w:ilvl w:val="0"/>
          <w:numId w:val="12"/>
        </w:numPr>
        <w:jc w:val="left"/>
      </w:pPr>
      <w:r>
        <w:t>Register embeddings/embeddinggemma_300m.normalized.f32 as a contiguous [10,008,061, 768] float32 matrix, with matrix row N mapped to doc_id N. Record google/embeddinggemma-300m, normalization state, file checksum, and any supplied model revision, pooling/mode, or run-manifest provenance; unavailable provenance remains explicit null metadata.</w:t>
      </w:r>
    </w:p>
    <w:p>
      <w:pPr>
        <w:numPr>
          <w:ilvl w:val="0"/>
          <w:numId w:val="12"/>
        </w:numPr>
        <w:jc w:val="left"/>
      </w:pPr>
      <w:r>
        <w:t>Create an evaluation-owned corpus_manifest.json wrapper containing dataset version, exact row count, schema and ID-mapping versions, extraction/normalization metadata, upstream exact-dedup precondition flags, embedding metadata, SHA-256 references to dense_10m_explicit.json and dataset_manifest.json, the embedding checksum, provenance-availability flags, and creation timestamp.</w:t>
      </w:r>
    </w:p>
    <w:p>
      <w:pPr>
        <w:pStyle w:val="Heading2"/>
        <w:jc w:val="left"/>
        <w:keepNext/>
      </w:pPr>
      <w:r>
        <w:t>Required document fields</w:t>
      </w:r>
    </w:p>
    <w:tbl>
      <w:tblPr>
        <w:tblStyle w:val="TableGrid"/>
        <w:tblW w:type="dxa" w:w="9360"/>
        <w:tblLayout w:type="fixed"/>
        <w:tblLook w:firstColumn="1" w:firstRow="1" w:lastColumn="0" w:lastRow="0" w:noHBand="0" w:noVBand="1" w:val="04A0"/>
        <w:jc w:val="left"/>
        <w:tblInd w:w="120" w:type="dxa"/>
      </w:tblPr>
      <w:tblGrid>
        <w:gridCol w:w="2200"/>
        <w:gridCol w:w="1900"/>
        <w:gridCol w:w="5260"/>
      </w:tblGrid>
      <w:tr>
        <w:trPr>
          <w:trHeight w:hRule="atLeast"/>
          <w:tblHeader w:val="true"/>
          <w:cantSplit w:val="true"/>
        </w:trPr>
        <w:tc>
          <w:tcPr>
            <w:tcW w:type="dxa" w:w="2200"/>
            <w:tcMar>
              <w:top w:w="80" w:type="dxa"/>
              <w:start w:w="120" w:type="dxa"/>
              <w:bottom w:w="80" w:type="dxa"/>
              <w:end w:w="120" w:type="dxa"/>
            </w:tcMar>
            <w:vAlign w:val="center"/>
            <w:shd w:fill="F4F6F9"/>
          </w:tcPr>
          <w:p>
            <w:pPr>
              <w:spacing w:after="0"/>
              <w:jc w:val="center"/>
            </w:pPr>
            <w:r>
              <w:rPr>
                <w:rFonts w:ascii="Calibri" w:hAnsi="Calibri" w:eastAsia="Calibri"/>
                <w:b/>
                <w:color w:val="0B2545"/>
                <w:sz w:val="18"/>
              </w:rPr>
              <w:t>Field</w:t>
            </w:r>
          </w:p>
        </w:tc>
        <w:tc>
          <w:tcPr>
            <w:tcW w:type="dxa" w:w="1900"/>
            <w:tcMar>
              <w:top w:w="80" w:type="dxa"/>
              <w:start w:w="120" w:type="dxa"/>
              <w:bottom w:w="80" w:type="dxa"/>
              <w:end w:w="120" w:type="dxa"/>
            </w:tcMar>
            <w:vAlign w:val="center"/>
            <w:shd w:fill="F4F6F9"/>
          </w:tcPr>
          <w:p>
            <w:pPr>
              <w:spacing w:after="0"/>
              <w:jc w:val="left"/>
            </w:pPr>
            <w:r>
              <w:rPr>
                <w:rFonts w:ascii="Calibri" w:hAnsi="Calibri" w:eastAsia="Calibri"/>
                <w:b/>
                <w:color w:val="0B2545"/>
                <w:sz w:val="18"/>
              </w:rPr>
              <w:t>Requirement</w:t>
            </w:r>
          </w:p>
        </w:tc>
        <w:tc>
          <w:tcPr>
            <w:tcW w:type="dxa" w:w="5260"/>
            <w:tcMar>
              <w:top w:w="80" w:type="dxa"/>
              <w:start w:w="120" w:type="dxa"/>
              <w:bottom w:w="80" w:type="dxa"/>
              <w:end w:w="120" w:type="dxa"/>
            </w:tcMar>
            <w:vAlign w:val="center"/>
            <w:shd w:fill="F4F6F9"/>
          </w:tcPr>
          <w:p>
            <w:pPr>
              <w:spacing w:after="0"/>
              <w:jc w:val="left"/>
            </w:pPr>
            <w:r>
              <w:rPr>
                <w:rFonts w:ascii="Calibri" w:hAnsi="Calibri" w:eastAsia="Calibri"/>
                <w:b/>
                <w:color w:val="0B2545"/>
                <w:sz w:val="18"/>
              </w:rPr>
              <w:t>Definition</w:t>
            </w:r>
          </w:p>
        </w:tc>
      </w:tr>
      <w:tr>
        <w:trPr>
          <w:cantSplit w:val="true"/>
          <w:trHeight w:hRule="atLeast"/>
        </w:trPr>
        <w:tc>
          <w:tcPr>
            <w:tcW w:type="dxa" w:w="2200"/>
            <w:tcMar>
              <w:top w:w="80" w:type="dxa"/>
              <w:start w:w="120" w:type="dxa"/>
              <w:bottom w:w="80" w:type="dxa"/>
              <w:end w:w="120" w:type="dxa"/>
            </w:tcMar>
            <w:vAlign w:val="center"/>
          </w:tcPr>
          <w:p>
            <w:r>
              <w:t>doc_id / _curator_dedup_id</w:t>
            </w:r>
          </w:p>
        </w:tc>
        <w:tc>
          <w:tcPr>
            <w:tcW w:type="dxa" w:w="1900"/>
            <w:tcMar>
              <w:top w:w="80" w:type="dxa"/>
              <w:start w:w="120" w:type="dxa"/>
              <w:bottom w:w="80" w:type="dxa"/>
              <w:end w:w="120" w:type="dxa"/>
            </w:tcMar>
            <w:vAlign w:val="center"/>
          </w:tcPr>
          <w:p>
            <w:r>
              <w:t>Required</w:t>
            </w:r>
          </w:p>
        </w:tc>
        <w:tc>
          <w:tcPr>
            <w:tcW w:type="dxa" w:w="5260"/>
            <w:tcMar>
              <w:top w:w="80" w:type="dxa"/>
              <w:start w:w="120" w:type="dxa"/>
              <w:bottom w:w="80" w:type="dxa"/>
              <w:end w:w="120" w:type="dxa"/>
            </w:tcMar>
            <w:vAlign w:val="center"/>
          </w:tcPr>
          <w:p>
            <w:r>
              <w:t>Use delivered _curator_dedup_id as logical doc_id; stable unique int64 in [0, 10,008,060].</w:t>
            </w:r>
          </w:p>
        </w:tc>
      </w:tr>
      <w:tr>
        <w:trPr>
          <w:cantSplit w:val="true"/>
          <w:trHeight w:hRule="atLeast"/>
        </w:trPr>
        <w:tc>
          <w:tcPr>
            <w:tcW w:type="dxa" w:w="220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text</w:t>
            </w:r>
          </w:p>
        </w:tc>
        <w:tc>
          <w:tcPr>
            <w:tcW w:type="dxa" w:w="190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Required</w:t>
            </w:r>
          </w:p>
        </w:tc>
        <w:tc>
          <w:tcPr>
            <w:tcW w:type="dxa" w:w="526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Full cleaned text used by the SUT.</w:t>
            </w:r>
          </w:p>
        </w:tc>
      </w:tr>
      <w:tr>
        <w:trPr>
          <w:cantSplit w:val="true"/>
          <w:trHeight w:hRule="atLeast"/>
        </w:trPr>
        <w:tc>
          <w:tcPr>
            <w:tcW w:type="dxa" w:w="220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url</w:t>
            </w:r>
          </w:p>
        </w:tc>
        <w:tc>
          <w:tcPr>
            <w:tcW w:type="dxa" w:w="190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Required if available</w:t>
            </w:r>
          </w:p>
        </w:tc>
        <w:tc>
          <w:tcPr>
            <w:tcW w:type="dxa" w:w="526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Original page URL; retain null rather than inventing a value.</w:t>
            </w:r>
          </w:p>
        </w:tc>
      </w:tr>
      <w:tr>
        <w:trPr>
          <w:cantSplit w:val="true"/>
          <w:trHeight w:hRule="atLeast"/>
        </w:trPr>
        <w:tc>
          <w:tcPr>
            <w:tcW w:type="dxa" w:w="2200"/>
            <w:tcMar>
              <w:top w:w="80" w:type="dxa"/>
              <w:start w:w="120" w:type="dxa"/>
              <w:bottom w:w="80" w:type="dxa"/>
              <w:end w:w="120" w:type="dxa"/>
            </w:tcMar>
            <w:vAlign w:val="center"/>
          </w:tcPr>
          <w:p>
            <w:r>
              <w:t>warc_id / warc_record_id</w:t>
            </w:r>
          </w:p>
        </w:tc>
        <w:tc>
          <w:tcPr>
            <w:tcW w:type="dxa" w:w="1900"/>
            <w:tcMar>
              <w:top w:w="80" w:type="dxa"/>
              <w:start w:w="120" w:type="dxa"/>
              <w:bottom w:w="80" w:type="dxa"/>
              <w:end w:w="120" w:type="dxa"/>
            </w:tcMar>
            <w:vAlign w:val="center"/>
          </w:tcPr>
          <w:p>
            <w:r>
              <w:t>Required if available</w:t>
            </w:r>
          </w:p>
        </w:tc>
        <w:tc>
          <w:tcPr>
            <w:tcW w:type="dxa" w:w="5260"/>
            <w:tcMar>
              <w:top w:w="80" w:type="dxa"/>
              <w:start w:w="120" w:type="dxa"/>
              <w:bottom w:w="80" w:type="dxa"/>
              <w:end w:w="120" w:type="dxa"/>
            </w:tcMar>
            <w:vAlign w:val="center"/>
          </w:tcPr>
          <w:p>
            <w:r>
              <w:t>Map delivered warc_record_id to the evaluation's logical warc_id field.</w:t>
            </w:r>
          </w:p>
        </w:tc>
      </w:tr>
      <w:tr>
        <w:trPr>
          <w:cantSplit w:val="true"/>
          <w:trHeight w:hRule="atLeast"/>
        </w:trPr>
        <w:tc>
          <w:tcPr>
            <w:tcW w:type="dxa" w:w="2200"/>
            <w:tcMar>
              <w:top w:w="80" w:type="dxa"/>
              <w:start w:w="120" w:type="dxa"/>
              <w:bottom w:w="80" w:type="dxa"/>
              <w:end w:w="120" w:type="dxa"/>
            </w:tcMar>
            <w:vAlign w:val="center"/>
          </w:tcPr>
          <w:p>
            <w:r>
              <w:t>crawl_timestamp / timestamp</w:t>
            </w:r>
          </w:p>
        </w:tc>
        <w:tc>
          <w:tcPr>
            <w:tcW w:type="dxa" w:w="1900"/>
            <w:tcMar>
              <w:top w:w="80" w:type="dxa"/>
              <w:start w:w="120" w:type="dxa"/>
              <w:bottom w:w="80" w:type="dxa"/>
              <w:end w:w="120" w:type="dxa"/>
            </w:tcMar>
            <w:vAlign w:val="center"/>
          </w:tcPr>
          <w:p>
            <w:r>
              <w:t>Required if available</w:t>
            </w:r>
          </w:p>
        </w:tc>
        <w:tc>
          <w:tcPr>
            <w:tcW w:type="dxa" w:w="5260"/>
            <w:tcMar>
              <w:top w:w="80" w:type="dxa"/>
              <w:start w:w="120" w:type="dxa"/>
              <w:bottom w:w="80" w:type="dxa"/>
              <w:end w:w="120" w:type="dxa"/>
            </w:tcMar>
            <w:vAlign w:val="center"/>
          </w:tcPr>
          <w:p>
            <w:r>
              <w:t>Map delivered timestamp to crawl_timestamp; retain missing values.</w:t>
            </w:r>
          </w:p>
        </w:tc>
      </w:tr>
      <w:tr>
        <w:trPr>
          <w:cantSplit w:val="true"/>
          <w:trHeight w:hRule="atLeast"/>
        </w:trPr>
        <w:tc>
          <w:tcPr>
            <w:tcW w:type="dxa" w:w="2200"/>
            <w:tcMar>
              <w:top w:w="80" w:type="dxa"/>
              <w:start w:w="120" w:type="dxa"/>
              <w:bottom w:w="80" w:type="dxa"/>
              <w:end w:w="120" w:type="dxa"/>
            </w:tcMar>
            <w:vAlign w:val="center"/>
          </w:tcPr>
          <w:p>
            <w:r>
              <w:t>language</w:t>
            </w:r>
          </w:p>
        </w:tc>
        <w:tc>
          <w:tcPr>
            <w:tcW w:type="dxa" w:w="1900"/>
            <w:tcMar>
              <w:top w:w="80" w:type="dxa"/>
              <w:start w:w="120" w:type="dxa"/>
              <w:bottom w:w="80" w:type="dxa"/>
              <w:end w:w="120" w:type="dxa"/>
            </w:tcMar>
            <w:vAlign w:val="center"/>
          </w:tcPr>
          <w:p>
            <w:r>
              <w:t>Optional in handoff</w:t>
            </w:r>
          </w:p>
        </w:tc>
        <w:tc>
          <w:tcPr>
            <w:tcW w:type="dxa" w:w="5260"/>
            <w:tcMar>
              <w:top w:w="80" w:type="dxa"/>
              <w:start w:w="120" w:type="dxa"/>
              <w:bottom w:w="80" w:type="dxa"/>
              <w:end w:w="120" w:type="dxa"/>
            </w:tcMar>
            <w:vAlign w:val="center"/>
          </w:tcPr>
          <w:p>
            <w:r>
              <w:t>Delivered language value where present; retain nulls and record missingness.</w:t>
            </w:r>
          </w:p>
        </w:tc>
      </w:tr>
      <w:tr>
        <w:trPr>
          <w:cantSplit w:val="true"/>
          <w:trHeight w:hRule="atLeast"/>
        </w:trPr>
        <w:tc>
          <w:tcPr>
            <w:tcW w:type="dxa" w:w="2200"/>
            <w:tcMar>
              <w:top w:w="80" w:type="dxa"/>
              <w:start w:w="120" w:type="dxa"/>
              <w:bottom w:w="80" w:type="dxa"/>
              <w:end w:w="120" w:type="dxa"/>
            </w:tcMar>
            <w:vAlign w:val="center"/>
          </w:tcPr>
          <w:p>
            <w:r>
              <w:t>source / source_id / warc_path</w:t>
            </w:r>
          </w:p>
        </w:tc>
        <w:tc>
          <w:tcPr>
            <w:tcW w:type="dxa" w:w="1900"/>
            <w:tcMar>
              <w:top w:w="80" w:type="dxa"/>
              <w:start w:w="120" w:type="dxa"/>
              <w:bottom w:w="80" w:type="dxa"/>
              <w:end w:w="120" w:type="dxa"/>
            </w:tcMar>
            <w:vAlign w:val="center"/>
          </w:tcPr>
          <w:p>
            <w:r>
              <w:t>Required</w:t>
            </w:r>
          </w:p>
        </w:tc>
        <w:tc>
          <w:tcPr>
            <w:tcW w:type="dxa" w:w="5260"/>
            <w:tcMar>
              <w:top w:w="80" w:type="dxa"/>
              <w:start w:w="120" w:type="dxa"/>
              <w:bottom w:w="80" w:type="dxa"/>
              <w:end w:w="120" w:type="dxa"/>
            </w:tcMar>
            <w:vAlign w:val="center"/>
          </w:tcPr>
          <w:p>
            <w:r>
              <w:t>Preserve delivered source_id and warc_path; derive a logical source field only by a frozen rule.</w:t>
            </w:r>
          </w:p>
        </w:tc>
      </w:tr>
      <w:tr>
        <w:trPr>
          <w:cantSplit w:val="true"/>
          <w:trHeight w:hRule="atLeast"/>
        </w:trPr>
        <w:tc>
          <w:tcPr>
            <w:tcW w:type="dxa" w:w="2200"/>
            <w:tcMar>
              <w:top w:w="80" w:type="dxa"/>
              <w:start w:w="120" w:type="dxa"/>
              <w:bottom w:w="80" w:type="dxa"/>
              <w:end w:w="120" w:type="dxa"/>
            </w:tcMar>
            <w:vAlign w:val="center"/>
          </w:tcPr>
          <w:p>
            <w:r>
              <w:t>char_count</w:t>
            </w:r>
          </w:p>
        </w:tc>
        <w:tc>
          <w:tcPr>
            <w:tcW w:type="dxa" w:w="1900"/>
            <w:tcMar>
              <w:top w:w="80" w:type="dxa"/>
              <w:start w:w="120" w:type="dxa"/>
              <w:bottom w:w="80" w:type="dxa"/>
              <w:end w:w="120" w:type="dxa"/>
            </w:tcMar>
            <w:vAlign w:val="center"/>
          </w:tcPr>
          <w:p>
            <w:r>
              <w:t>Derived in Step 3</w:t>
            </w:r>
          </w:p>
        </w:tc>
        <w:tc>
          <w:tcPr>
            <w:tcW w:type="dxa" w:w="5260"/>
            <w:tcMar>
              <w:top w:w="80" w:type="dxa"/>
              <w:start w:w="120" w:type="dxa"/>
              <w:bottom w:w="80" w:type="dxa"/>
              <w:end w:w="120" w:type="dxa"/>
            </w:tcMar>
            <w:vAlign w:val="center"/>
          </w:tcPr>
          <w:p>
            <w:r>
              <w:t>Unicode character count computed from delivered text; not required as a stored upstream column.</w:t>
            </w:r>
          </w:p>
        </w:tc>
      </w:tr>
      <w:tr>
        <w:trPr>
          <w:cantSplit w:val="true"/>
          <w:trHeight w:hRule="atLeast"/>
        </w:trPr>
        <w:tc>
          <w:tcPr>
            <w:tcW w:type="dxa" w:w="2200"/>
            <w:tcMar>
              <w:top w:w="80" w:type="dxa"/>
              <w:start w:w="120" w:type="dxa"/>
              <w:bottom w:w="80" w:type="dxa"/>
              <w:end w:w="120" w:type="dxa"/>
            </w:tcMar>
            <w:vAlign w:val="center"/>
          </w:tcPr>
          <w:p>
            <w:r>
              <w:t>token_count</w:t>
            </w:r>
          </w:p>
        </w:tc>
        <w:tc>
          <w:tcPr>
            <w:tcW w:type="dxa" w:w="1900"/>
            <w:tcMar>
              <w:top w:w="80" w:type="dxa"/>
              <w:start w:w="120" w:type="dxa"/>
              <w:bottom w:w="80" w:type="dxa"/>
              <w:end w:w="120" w:type="dxa"/>
            </w:tcMar>
            <w:vAlign w:val="center"/>
          </w:tcPr>
          <w:p>
            <w:r>
              <w:t>Derived in Step 3</w:t>
            </w:r>
          </w:p>
        </w:tc>
        <w:tc>
          <w:tcPr>
            <w:tcW w:type="dxa" w:w="5260"/>
            <w:tcMar>
              <w:top w:w="80" w:type="dxa"/>
              <w:start w:w="120" w:type="dxa"/>
              <w:bottom w:w="80" w:type="dxa"/>
              <w:end w:w="120" w:type="dxa"/>
            </w:tcMar>
            <w:vAlign w:val="center"/>
          </w:tcPr>
          <w:p>
            <w:r>
              <w:t>Computed under the tokenizer frozen in evaluation_manifest.json; not required as an upstream column.</w:t>
            </w:r>
          </w:p>
        </w:tc>
      </w:tr>
      <w:tr>
        <w:trPr>
          <w:cantSplit w:val="true"/>
          <w:trHeight w:hRule="atLeast"/>
        </w:trPr>
        <w:tc>
          <w:tcPr>
            <w:tcW w:type="dxa" w:w="2200"/>
            <w:tcMar>
              <w:top w:w="80" w:type="dxa"/>
              <w:start w:w="120" w:type="dxa"/>
              <w:bottom w:w="80" w:type="dxa"/>
              <w:end w:w="120" w:type="dxa"/>
            </w:tcMar>
            <w:vAlign w:val="center"/>
          </w:tcPr>
          <w:p>
            <w:r>
              <w:t>normalization_version</w:t>
            </w:r>
          </w:p>
        </w:tc>
        <w:tc>
          <w:tcPr>
            <w:tcW w:type="dxa" w:w="1900"/>
            <w:tcMar>
              <w:top w:w="80" w:type="dxa"/>
              <w:start w:w="120" w:type="dxa"/>
              <w:bottom w:w="80" w:type="dxa"/>
              <w:end w:w="120" w:type="dxa"/>
            </w:tcMar>
            <w:vAlign w:val="center"/>
          </w:tcPr>
          <w:p>
            <w:r>
              <w:t>Dataset-level required</w:t>
            </w:r>
          </w:p>
        </w:tc>
        <w:tc>
          <w:tcPr>
            <w:tcW w:type="dxa" w:w="5260"/>
            <w:tcMar>
              <w:top w:w="80" w:type="dxa"/>
              <w:start w:w="120" w:type="dxa"/>
              <w:bottom w:w="80" w:type="dxa"/>
              <w:end w:w="120" w:type="dxa"/>
            </w:tcMar>
            <w:vAlign w:val="center"/>
          </w:tcPr>
          <w:p>
            <w:r>
              <w:t>Read common-crawl-extractor-output-v1 from schema/manifest metadata; per-row duplication is unnecessary.</w:t>
            </w:r>
          </w:p>
        </w:tc>
      </w:tr>
    </w:tbl>
    <w:p>
      <w:pPr>
        <w:spacing w:after="0"/>
      </w:pPr>
    </w:p>
    <w:p>
      <w:pPr>
        <w:pStyle w:val="Heading2"/>
        <w:jc w:val="left"/>
        <w:keepNext/>
      </w:pPr>
      <w:r>
        <w:t>Outputs</w:t>
      </w:r>
    </w:p>
    <w:p>
      <w:pPr>
        <w:numPr>
          <w:ilvl w:val="0"/>
          <w:numId w:val="10"/>
        </w:numPr>
        <w:jc w:val="left"/>
      </w:pPr>
      <w:r>
        <w:t>709 frozen extracted-text Parquet shards totaling exactly 10,008,061 rows; a monolithic documents.parquet copy is not required.</w:t>
      </w:r>
    </w:p>
    <w:p>
      <w:pPr>
        <w:numPr>
          <w:ilvl w:val="0"/>
          <w:numId w:val="10"/>
        </w:numPr>
        <w:jc w:val="left"/>
      </w:pPr>
      <w:r>
        <w:t>embeddinggemma_300m.normalized.f32 plus the explicit row N ↔ doc_id N mapping and verified SHA-256.</w:t>
      </w:r>
    </w:p>
    <w:p>
      <w:pPr>
        <w:numPr>
          <w:ilvl w:val="0"/>
          <w:numId w:val="10"/>
        </w:numPr>
        <w:jc w:val="left"/>
      </w:pPr>
      <w:r>
        <w:t>Evaluation-owned corpus_manifest.json referencing the upstream dense and singleton manifests, every delivered shard checksum, and the embedding checksum.</w:t>
      </w:r>
    </w:p>
    <w:p>
      <w:pPr>
        <w:pStyle w:val="Heading2"/>
        <w:jc w:val="left"/>
        <w:keepNext/>
      </w:pPr>
      <w:r>
        <w:t>Validation and done criteria</w:t>
      </w:r>
    </w:p>
    <w:p>
      <w:pPr>
        <w:numPr>
          <w:ilvl w:val="0"/>
          <w:numId w:val="10"/>
        </w:numPr>
        <w:jc w:val="left"/>
      </w:pPr>
      <w:r>
        <w:t>row_count == 10,008,061; doc_id null count == 0; distinct(doc_id) == 10,008,061; min(doc_id) == 0; max(doc_id) == 10,008,060.</w:t>
      </w:r>
    </w:p>
    <w:p>
      <w:pPr>
        <w:numPr>
          <w:ilvl w:val="0"/>
          <w:numId w:val="10"/>
        </w:numPr>
        <w:jc w:val="left"/>
      </w:pPr>
      <w:r>
        <w:t>The embedding byte size equals 10,008,061 × 768 × 4; matrix row N maps to exactly doc_id N; the full-file SHA-256 matches the frozen handoff checksum.</w:t>
      </w:r>
    </w:p>
    <w:p>
      <w:pPr>
        <w:numPr>
          <w:ilvl w:val="0"/>
          <w:numId w:val="10"/>
        </w:numPr>
        <w:jc w:val="left"/>
      </w:pPr>
      <w:r>
        <w:t>text is non-null; empty-text rows are counted and either removed before freezing the corpus or explicitly retained with a documented reason.</w:t>
      </w:r>
    </w:p>
    <w:p>
      <w:pPr>
        <w:numPr>
          <w:ilvl w:val="0"/>
          <w:numId w:val="10"/>
        </w:numPr>
        <w:jc w:val="left"/>
      </w:pPr>
      <w:r>
        <w:t>All declared shard and artifact checksums match after handoff. Hongsheng can independently reproduce the 10,008,061 corpus count, fuzzy/group/removal accounting, ID partition, and logical retained count.</w:t>
      </w:r>
    </w:p>
    <w:p>
      <w:pPr>
        <w:pStyle w:val="Heading1"/>
        <w:keepNext/>
      </w:pPr>
      <w:r>
        <w:t>Step 2 — Validate and Register the Frozen Fuzzy-Dedup SUT Run</w:t>
      </w:r>
    </w:p>
    <w:p>
      <w:pPr>
        <w:pStyle w:val="StepMetadata"/>
        <w:keepNext/>
      </w:pPr>
      <w:r>
        <w:t>OWNER  Vibhu     |     GATE  CONDITIONALLY PASSED — predictions validated; exact upstream regeneration not required</w:t>
      </w:r>
    </w:p>
    <w:p>
      <w:pPr>
        <w:pStyle w:val="Heading2"/>
        <w:jc w:val="left"/>
        <w:keepNext/>
      </w:pPr>
      <w:r>
        <w:t>Goal</w:t>
      </w:r>
    </w:p>
    <w:p>
      <w:r>
        <w:t>Register and validate the completed NeMo Curator fuzzy-deduplication run over the exact Step 1 cohort while preserving the outputs needed to recover predicted groups, logical keepers, and removal decisions.</w:t>
      </w:r>
    </w:p>
    <w:p>
      <w:pPr>
        <w:pStyle w:val="Heading2"/>
        <w:jc w:val="left"/>
        <w:keepNext/>
      </w:pPr>
      <w:r>
        <w:t>Inputs</w:t>
      </w:r>
    </w:p>
    <w:p>
      <w:pPr>
        <w:numPr>
          <w:ilvl w:val="0"/>
          <w:numId w:val="10"/>
        </w:numPr>
        <w:jc w:val="left"/>
      </w:pPr>
      <w:r>
        <w:t>The validated 10,008,061 Step 1 documents, upstream dense manifest, and evaluation-owned corpus_manifest.json wrapper.</w:t>
      </w:r>
    </w:p>
    <w:p>
      <w:pPr>
        <w:numPr>
          <w:ilvl w:val="0"/>
          <w:numId w:val="10"/>
        </w:numPr>
        <w:jc w:val="left"/>
      </w:pPr>
      <w:r>
        <w:t>The delivered run_identity.json and runtime_manifest.json: sut_run_id d8a4d79265ef88d11ebd, repository revision 57324554392cbea5352185daad219823035d438a, corpus-manifest digest, runtime-manifest digest, and opaque config digest. A copied resolved configuration is recommended but non-blocking for this run.</w:t>
      </w:r>
    </w:p>
    <w:p>
      <w:pPr>
        <w:numPr>
          <w:ilvl w:val="0"/>
          <w:numId w:val="10"/>
        </w:numPr>
        <w:jc w:val="left"/>
      </w:pPr>
      <w:r>
        <w:t>The production-equivalent duplicate-selection/removal policy used to decide which member of a component is retained.</w:t>
      </w:r>
    </w:p>
    <w:p>
      <w:pPr>
        <w:pStyle w:val="Heading2"/>
        <w:jc w:val="left"/>
        <w:keepNext/>
      </w:pPr>
      <w:r>
        <w:t>Required procedure</w:t>
      </w:r>
    </w:p>
    <w:p>
      <w:pPr>
        <w:numPr>
          <w:ilvl w:val="0"/>
          <w:numId w:val="13"/>
        </w:numPr>
        <w:jc w:val="left"/>
      </w:pPr>
      <w:r>
        <w:t>Before Step 3, create an evaluation-owned sut_run_manifest.json wrapper around the delivered run_identity.json, runtime_manifest.json, duplicate_groups.parquet, and removal_ids.parquet. Preserve sut_run_id d8a4d79265ef88d11ebd, all checksums and versions, config_digest, and resolved_config_available = false unless Vibhu later supplies it. The sut_run_id must not be reused as the evaluation_run_id.</w:t>
      </w:r>
    </w:p>
    <w:p>
      <w:pPr>
        <w:numPr>
          <w:ilvl w:val="0"/>
          <w:numId w:val="13"/>
        </w:numPr>
        <w:jc w:val="left"/>
      </w:pPr>
      <w:r>
        <w:t>Run fuzzy duplicate identification with physical removal disabled so that the evaluation corpus remains intact.</w:t>
      </w:r>
    </w:p>
    <w:p>
      <w:pPr>
        <w:numPr>
          <w:ilvl w:val="0"/>
          <w:numId w:val="13"/>
        </w:numPr>
        <w:jc w:val="left"/>
      </w:pPr>
      <w:r>
        <w:t>Require the delivered duplicate-group membership and removal-ID outputs. Register cached MinHash, LSH, BucketsToEdges, and other source-run artifacts only when supplied; their absence is a reproducibility/diagnostic limitation and does not block this V0 because group membership and keeper decisions are complete.</w:t>
      </w:r>
    </w:p>
    <w:p>
      <w:pPr>
        <w:numPr>
          <w:ilvl w:val="0"/>
          <w:numId w:val="13"/>
        </w:numPr>
        <w:jc w:val="left"/>
      </w:pPr>
      <w:r>
        <w:t>Verify that all output IDs use the Step 1 doc_id mapping. If NeMo Curator generated internal IDs, export the complete reversible mapping.</w:t>
      </w:r>
    </w:p>
    <w:p>
      <w:pPr>
        <w:numPr>
          <w:ilvl w:val="0"/>
          <w:numId w:val="13"/>
        </w:numPr>
        <w:jc w:val="left"/>
      </w:pPr>
      <w:r>
        <w:t>Record every available runtime, hardware, partition, warning, failed-task, source-file, and checksum field. Represent unavailable upstream evidence as explicit nulls and availability flags; never infer or fabricate it.</w:t>
      </w:r>
    </w:p>
    <w:p>
      <w:pPr>
        <w:pStyle w:val="Heading2"/>
        <w:jc w:val="left"/>
        <w:keepNext/>
      </w:pPr>
      <w:r>
        <w:t>Outputs</w:t>
      </w:r>
    </w:p>
    <w:p>
      <w:pPr>
        <w:numPr>
          <w:ilvl w:val="0"/>
          <w:numId w:val="10"/>
        </w:numPr>
        <w:jc w:val="left"/>
      </w:pPr>
      <w:r>
        <w:t>Evaluation-owned sut_run_manifest.json with one immutable sut_run_id and an upstream_reproducibility_status of conditionally_reproducible until a resolved configuration is supplied.</w:t>
      </w:r>
    </w:p>
    <w:p>
      <w:pPr>
        <w:numPr>
          <w:ilvl w:val="0"/>
          <w:numId w:val="10"/>
        </w:numPr>
        <w:jc w:val="left"/>
      </w:pPr>
      <w:r>
        <w:t>Connected-components rows linking member doc_id to predicted group ID.</w:t>
      </w:r>
    </w:p>
    <w:p>
      <w:pPr>
        <w:numPr>
          <w:ilvl w:val="0"/>
          <w:numId w:val="10"/>
        </w:numPr>
        <w:jc w:val="left"/>
      </w:pPr>
      <w:r>
        <w:t>Duplicate/removal IDs or equivalent output from the configured keeper policy.</w:t>
      </w:r>
    </w:p>
    <w:p>
      <w:pPr>
        <w:numPr>
          <w:ilvl w:val="0"/>
          <w:numId w:val="10"/>
        </w:numPr>
        <w:jc w:val="left"/>
      </w:pPr>
      <w:r>
        <w:t>Candidate-edge, MinHash, and LSH artifacts when supplied; V0 records their availability but does not require them for graph-risk sampling or acceptance.</w:t>
      </w:r>
    </w:p>
    <w:p>
      <w:pPr>
        <w:numPr>
          <w:ilvl w:val="0"/>
          <w:numId w:val="10"/>
        </w:numPr>
        <w:jc w:val="left"/>
      </w:pPr>
      <w:r>
        <w:t>Available execution evidence and checksums, plus explicit availability flags for resolved configuration, caches, logs, and completion markers.</w:t>
      </w:r>
    </w:p>
    <w:p>
      <w:pPr>
        <w:pStyle w:val="Heading2"/>
        <w:jc w:val="left"/>
        <w:keepNext/>
      </w:pPr>
      <w:r>
        <w:t>Validation and done criteria</w:t>
      </w:r>
    </w:p>
    <w:p>
      <w:pPr>
        <w:numPr>
          <w:ilvl w:val="0"/>
          <w:numId w:val="10"/>
        </w:numPr>
        <w:jc w:val="left"/>
      </w:pPr>
      <w:r>
        <w:t>The SUT wrapper references the exact Step 1 corpus-manifest digest, one immutable sut_run_id, repository revision, runtime-manifest digest, and config_digest. A missing resolved_config artifact changes reproducibility status but does not fail this V0.</w:t>
      </w:r>
    </w:p>
    <w:p>
      <w:pPr>
        <w:numPr>
          <w:ilvl w:val="0"/>
          <w:numId w:val="10"/>
        </w:numPr>
        <w:jc w:val="left"/>
      </w:pPr>
      <w:r>
        <w:t>Every ID in groups, removal outputs, and retained edges resolves to exactly one Step 1 doc_id.</w:t>
      </w:r>
    </w:p>
    <w:p>
      <w:pPr>
        <w:numPr>
          <w:ilvl w:val="0"/>
          <w:numId w:val="10"/>
        </w:numPr>
        <w:jc w:val="left"/>
      </w:pPr>
      <w:r>
        <w:t>No document was physically deleted from the evaluation corpus.</w:t>
      </w:r>
    </w:p>
    <w:p>
      <w:pPr>
        <w:numPr>
          <w:ilvl w:val="0"/>
          <w:numId w:val="10"/>
        </w:numPr>
        <w:jc w:val="left"/>
      </w:pPr>
      <w:r>
        <w:t>Delivered groups and removals pass complete row-count, schema, ID-domain, partition, and keeper-consistency checks. Any unavailable upstream completion/log evidence is disclosed as a provenance limitation rather than treated as evidence of failure.</w:t>
      </w:r>
    </w:p>
    <w:p>
      <w:pPr>
        <w:pStyle w:val="Heading1"/>
        <w:keepNext/>
      </w:pPr>
      <w:r>
        <w:t>Step 3 — Recover Predicted Groups and Removal Decisions</w:t>
      </w:r>
    </w:p>
    <w:p>
      <w:pPr>
        <w:pStyle w:val="StepMetadata"/>
        <w:keepNext/>
      </w:pPr>
      <w:r>
        <w:rPr>
          <w:b/>
        </w:rPr>
        <w:t xml:space="preserve">OWNER  </w:t>
      </w:r>
      <w:r>
        <w:t>Hongsheng</w:t>
      </w:r>
      <w:r>
        <w:t xml:space="preserve">     |     </w:t>
      </w:r>
      <w:r>
        <w:rPr>
          <w:b/>
        </w:rPr>
        <w:t xml:space="preserve">GATE  </w:t>
      </w:r>
      <w:r>
        <w:t>BLOCKING — creates the authoritative SUT outcome table</w:t>
      </w:r>
    </w:p>
    <w:p>
      <w:pPr>
        <w:pStyle w:val="Heading2"/>
        <w:jc w:val="left"/>
        <w:keepNext/>
      </w:pPr>
      <w:r>
        <w:t>Goal</w:t>
      </w:r>
    </w:p>
    <w:p>
      <w:r>
        <w:t>Convert the Step 2 artifacts into one explicit row per corpus document. This prevents downstream code from treating all -1 labels as one group and makes actual KEEP/REMOVE decisions auditable.</w:t>
      </w:r>
    </w:p>
    <w:p>
      <w:pPr>
        <w:pStyle w:val="Heading2"/>
      </w:pPr>
      <w:r>
        <w:t>Evaluation-run identity and manifest</w:t>
      </w:r>
    </w:p>
    <w:p>
      <w:pPr>
        <w:pStyle w:val="Paragraph"/>
      </w:pPr>
      <w:r>
        <w:t>Before any Step 3 processing, Hongsheng creates evaluation_manifest.json and assigns one evaluation_run_id. This identifier names the evaluation execution across Steps 3–10 and is distinct from the upstream sut_run_id in sut_run_manifest.json.</w:t>
      </w:r>
    </w:p>
    <w:p>
      <w:pPr>
        <w:pStyle w:val="Paragraph"/>
      </w:pPr>
      <w:r>
        <w:t>The evaluation manifest records its schema version, evaluation code or container version, output root, creation time, frozen seeds and downstream configuration versions, and the canonical-pair-ID version. It references corpus_manifest.json and sut_run_manifest.json using both a path or URI and a SHA-256 checksum; a path without a matching checksum is not a valid reference.</w:t>
      </w:r>
    </w:p>
    <w:p>
      <w:pPr>
        <w:pStyle w:val="Paragraph"/>
      </w:pPr>
      <w:r>
        <w:t>Every evaluation-owned artifact contains evaluation_run_id and, where SUT lineage matters, sut_run_id. Unqualified run_id is not used in evaluation-owned schemas. After pair generation begins, the manifest is immutable. Any authorized deviation is written as an append-only deviation record with timestamp, owner, reason, and affected artifacts; it never silently rewrites the frozen manifest.</w:t>
      </w:r>
    </w:p>
    <w:p>
      <w:pPr>
        <w:pStyle w:val="Heading2"/>
        <w:jc w:val="left"/>
        <w:keepNext/>
      </w:pPr>
      <w:r>
        <w:t>Required procedure</w:t>
      </w:r>
    </w:p>
    <w:p>
      <w:pPr>
        <w:numPr>
          <w:ilvl w:val="0"/>
          <w:numId w:val="14"/>
        </w:numPr>
        <w:jc w:val="left"/>
      </w:pPr>
      <w:r>
        <w:t>Left-join all 10,008,061 Step 1 documents to the connected-components membership output by doc_id.</w:t>
      </w:r>
    </w:p>
    <w:p>
      <w:pPr>
        <w:numPr>
          <w:ilvl w:val="0"/>
          <w:numId w:val="14"/>
        </w:numPr>
        <w:jc w:val="left"/>
      </w:pPr>
      <w:r>
        <w:t>For a document present in a predicted component, set predicted_group_id to the component ID. For a missing document, set predicted_group_id = -1 and predicted_cluster_key = 'singleton:' + doc_id.</w:t>
      </w:r>
    </w:p>
    <w:p>
      <w:pPr>
        <w:numPr>
          <w:ilvl w:val="0"/>
          <w:numId w:val="14"/>
        </w:numPr>
        <w:jc w:val="left"/>
      </w:pPr>
      <w:r>
        <w:t>For grouped documents, set predicted_cluster_key = 'group:' + sut_run_id + ':' + predicted_group_id. Use predicted_cluster_key, not raw predicted_group_id equality, in all same-group tests.</w:t>
      </w:r>
    </w:p>
    <w:p>
      <w:pPr>
        <w:numPr>
          <w:ilvl w:val="0"/>
          <w:numId w:val="14"/>
        </w:numPr>
        <w:jc w:val="left"/>
      </w:pPr>
      <w:r>
        <w:t>Join the duplicate/removal ID output. Set action = REMOVE when doc_id is marked for removal; otherwise set action = KEEP.</w:t>
      </w:r>
    </w:p>
    <w:p>
      <w:pPr>
        <w:numPr>
          <w:ilvl w:val="0"/>
          <w:numId w:val="14"/>
        </w:numPr>
        <w:jc w:val="left"/>
      </w:pPr>
      <w:r>
        <w:t>Within every non-singleton predicted group, identify the actual retained representative under the Step 2 policy and populate final_keeper_id for every member. A keeper points to itself.</w:t>
      </w:r>
    </w:p>
    <w:p>
      <w:pPr>
        <w:numPr>
          <w:ilvl w:val="0"/>
          <w:numId w:val="14"/>
        </w:numPr>
        <w:jc w:val="left"/>
      </w:pPr>
      <w:r>
        <w:t>Validate group consistency. A V0 group must have exactly one final keeper unless the configured policy explicitly documents otherwise. Zero or ambiguous keepers stop the pipeline.</w:t>
      </w:r>
    </w:p>
    <w:p>
      <w:pPr>
        <w:numPr>
          <w:ilvl w:val="0"/>
          <w:numId w:val="14"/>
        </w:numPr>
        <w:jc w:val="left"/>
      </w:pPr>
      <w:r>
        <w:t>Compute predicted_group_size and document-length buckets: short &lt;= 500 tokens, medium 501–2,000, and long &gt; 2,000. Record these thresholds in the run manifest.</w:t>
      </w:r>
    </w:p>
    <w:p>
      <w:pPr>
        <w:numPr>
          <w:ilvl w:val="0"/>
          <w:numId w:val="14"/>
        </w:numPr>
        <w:jc w:val="left"/>
      </w:pPr>
      <w:r>
        <w:t>Compute hostname and canonical_url_v0 from url when present. For V0: lowercase the scheme and hostname, remove a default port and URL fragment, preserve the path and query exactly, and leave missing or unparsable URLs null. This conservative value is a reporting feature, not a duplicate label or retrieval rule.</w:t>
      </w:r>
    </w:p>
    <w:p>
      <w:pPr>
        <w:pStyle w:val="CodeBlock"/>
        <w:shd w:fill="F1F3F5"/>
      </w:pPr>
      <w:r>
        <w:rPr>
          <w:rFonts w:ascii="Menlo" w:hAnsi="Menlo" w:eastAsia="Menlo"/>
          <w:color w:val="0B2545"/>
          <w:sz w:val="17"/>
        </w:rPr>
        <w:t>same_predicted_group(i, j) =</w:t>
        <w:br/>
        <w:t xml:space="preserve">    predicted_cluster_key_i == predicted_cluster_key_j</w:t>
        <w:br/>
        <w:t/>
        <w:br/>
        <w:t># Two documents with predicted_group_id = -1 have different singleton keys.</w:t>
        <w:br/>
        <w:t># They are not in the same predicted group.</w:t>
      </w:r>
    </w:p>
    <w:p>
      <w:pPr>
        <w:pStyle w:val="Heading2"/>
        <w:jc w:val="left"/>
        <w:keepNext/>
      </w:pPr>
      <w:r>
        <w:t>Output: document_outcomes.parquet</w:t>
      </w:r>
    </w:p>
    <w:tbl>
      <w:tblPr>
        <w:tblStyle w:val="TableGrid"/>
        <w:tblW w:type="dxa" w:w="9360"/>
        <w:tblLayout w:type="fixed"/>
        <w:tblLook w:firstColumn="1" w:firstRow="1" w:lastColumn="0" w:lastRow="0" w:noHBand="0" w:noVBand="1" w:val="04A0"/>
        <w:jc w:val="left"/>
        <w:tblInd w:w="120" w:type="dxa"/>
      </w:tblPr>
      <w:tblGrid>
        <w:gridCol w:w="2350"/>
        <w:gridCol w:w="1800"/>
        <w:gridCol w:w="5210"/>
      </w:tblGrid>
      <w:tr>
        <w:trPr>
          <w:trHeight w:hRule="atLeast"/>
          <w:tblHeader w:val="true"/>
          <w:cantSplit w:val="true"/>
        </w:trPr>
        <w:tc>
          <w:tcPr>
            <w:tcW w:type="dxa" w:w="2350"/>
            <w:tcMar>
              <w:top w:w="80" w:type="dxa"/>
              <w:start w:w="120" w:type="dxa"/>
              <w:bottom w:w="80" w:type="dxa"/>
              <w:end w:w="120" w:type="dxa"/>
            </w:tcMar>
            <w:vAlign w:val="center"/>
            <w:shd w:fill="F4F6F9"/>
          </w:tcPr>
          <w:p>
            <w:pPr>
              <w:spacing w:after="0"/>
              <w:jc w:val="center"/>
            </w:pPr>
            <w:r>
              <w:rPr>
                <w:rFonts w:ascii="Calibri" w:hAnsi="Calibri" w:eastAsia="Calibri"/>
                <w:b/>
                <w:color w:val="0B2545"/>
                <w:sz w:val="18"/>
              </w:rPr>
              <w:t>Field</w:t>
            </w:r>
          </w:p>
        </w:tc>
        <w:tc>
          <w:tcPr>
            <w:tcW w:type="dxa" w:w="1800"/>
            <w:tcMar>
              <w:top w:w="80" w:type="dxa"/>
              <w:start w:w="120" w:type="dxa"/>
              <w:bottom w:w="80" w:type="dxa"/>
              <w:end w:w="120" w:type="dxa"/>
            </w:tcMar>
            <w:vAlign w:val="center"/>
            <w:shd w:fill="F4F6F9"/>
          </w:tcPr>
          <w:p>
            <w:pPr>
              <w:spacing w:after="0"/>
              <w:jc w:val="left"/>
            </w:pPr>
            <w:r>
              <w:rPr>
                <w:rFonts w:ascii="Calibri" w:hAnsi="Calibri" w:eastAsia="Calibri"/>
                <w:b/>
                <w:color w:val="0B2545"/>
                <w:sz w:val="18"/>
              </w:rPr>
              <w:t>Requirement</w:t>
            </w:r>
          </w:p>
        </w:tc>
        <w:tc>
          <w:tcPr>
            <w:tcW w:type="dxa" w:w="5210"/>
            <w:tcMar>
              <w:top w:w="80" w:type="dxa"/>
              <w:start w:w="120" w:type="dxa"/>
              <w:bottom w:w="80" w:type="dxa"/>
              <w:end w:w="120" w:type="dxa"/>
            </w:tcMar>
            <w:vAlign w:val="center"/>
            <w:shd w:fill="F4F6F9"/>
          </w:tcPr>
          <w:p>
            <w:pPr>
              <w:spacing w:after="0"/>
              <w:jc w:val="left"/>
            </w:pPr>
            <w:r>
              <w:rPr>
                <w:rFonts w:ascii="Calibri" w:hAnsi="Calibri" w:eastAsia="Calibri"/>
                <w:b/>
                <w:color w:val="0B2545"/>
                <w:sz w:val="18"/>
              </w:rPr>
              <w:t>Definition</w:t>
            </w:r>
          </w:p>
        </w:tc>
      </w:tr>
      <w:tr>
        <w:trPr>
          <w:cantSplit w:val="true"/>
          <w:trHeight w:hRule="atLeast"/>
        </w:trPr>
        <w:tc>
          <w:tcPr>
            <w:tcW w:type="dxa" w:w="235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evaluation_run_id, sut_run_id, doc_id</w:t>
            </w:r>
          </w:p>
        </w:tc>
        <w:tc>
          <w:tcPr>
            <w:tcW w:type="dxa" w:w="180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Required</w:t>
            </w:r>
          </w:p>
        </w:tc>
        <w:tc>
          <w:tcPr>
            <w:tcW w:type="dxa" w:w="521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evaluation_run_id + doc_id is the composite primary key; sut_run_id is the immutable upstream lineage key.</w:t>
            </w:r>
          </w:p>
        </w:tc>
      </w:tr>
      <w:tr>
        <w:trPr>
          <w:cantSplit w:val="true"/>
          <w:trHeight w:hRule="atLeast"/>
        </w:trPr>
        <w:tc>
          <w:tcPr>
            <w:tcW w:type="dxa" w:w="235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predicted_group_id</w:t>
            </w:r>
          </w:p>
        </w:tc>
        <w:tc>
          <w:tcPr>
            <w:tcW w:type="dxa" w:w="180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Required</w:t>
            </w:r>
          </w:p>
        </w:tc>
        <w:tc>
          <w:tcPr>
            <w:tcW w:type="dxa" w:w="521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Raw SUT component ID or -1.</w:t>
            </w:r>
          </w:p>
        </w:tc>
      </w:tr>
      <w:tr>
        <w:trPr>
          <w:cantSplit w:val="true"/>
          <w:trHeight w:hRule="atLeast"/>
        </w:trPr>
        <w:tc>
          <w:tcPr>
            <w:tcW w:type="dxa" w:w="235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predicted_cluster_key</w:t>
            </w:r>
          </w:p>
        </w:tc>
        <w:tc>
          <w:tcPr>
            <w:tcW w:type="dxa" w:w="180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Required</w:t>
            </w:r>
          </w:p>
        </w:tc>
        <w:tc>
          <w:tcPr>
            <w:tcW w:type="dxa" w:w="521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Unique logical cluster key; singleton keys include doc_id.</w:t>
            </w:r>
          </w:p>
        </w:tc>
      </w:tr>
      <w:tr>
        <w:trPr>
          <w:cantSplit w:val="true"/>
          <w:trHeight w:hRule="atLeast"/>
        </w:trPr>
        <w:tc>
          <w:tcPr>
            <w:tcW w:type="dxa" w:w="235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predicted_group_size</w:t>
            </w:r>
          </w:p>
        </w:tc>
        <w:tc>
          <w:tcPr>
            <w:tcW w:type="dxa" w:w="180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Required</w:t>
            </w:r>
          </w:p>
        </w:tc>
        <w:tc>
          <w:tcPr>
            <w:tcW w:type="dxa" w:w="521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1 for singletons; component size otherwise.</w:t>
            </w:r>
          </w:p>
        </w:tc>
      </w:tr>
      <w:tr>
        <w:trPr>
          <w:cantSplit w:val="true"/>
          <w:trHeight w:hRule="atLeast"/>
        </w:trPr>
        <w:tc>
          <w:tcPr>
            <w:tcW w:type="dxa" w:w="235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action</w:t>
            </w:r>
          </w:p>
        </w:tc>
        <w:tc>
          <w:tcPr>
            <w:tcW w:type="dxa" w:w="180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Required</w:t>
            </w:r>
          </w:p>
        </w:tc>
        <w:tc>
          <w:tcPr>
            <w:tcW w:type="dxa" w:w="521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KEEP or REMOVE.</w:t>
            </w:r>
          </w:p>
        </w:tc>
      </w:tr>
      <w:tr>
        <w:trPr>
          <w:cantSplit w:val="true"/>
          <w:trHeight w:hRule="atLeast"/>
        </w:trPr>
        <w:tc>
          <w:tcPr>
            <w:tcW w:type="dxa" w:w="235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final_keeper_id</w:t>
            </w:r>
          </w:p>
        </w:tc>
        <w:tc>
          <w:tcPr>
            <w:tcW w:type="dxa" w:w="180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Required</w:t>
            </w:r>
          </w:p>
        </w:tc>
        <w:tc>
          <w:tcPr>
            <w:tcW w:type="dxa" w:w="521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Retained representative; self for keepers/singletons.</w:t>
            </w:r>
          </w:p>
        </w:tc>
      </w:tr>
      <w:tr>
        <w:trPr>
          <w:cantSplit w:val="true"/>
          <w:trHeight w:hRule="atLeast"/>
        </w:trPr>
        <w:tc>
          <w:tcPr>
            <w:tcW w:type="dxa" w:w="235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length_bucket</w:t>
            </w:r>
          </w:p>
        </w:tc>
        <w:tc>
          <w:tcPr>
            <w:tcW w:type="dxa" w:w="180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Required</w:t>
            </w:r>
          </w:p>
        </w:tc>
        <w:tc>
          <w:tcPr>
            <w:tcW w:type="dxa" w:w="521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short, medium, or long under frozen thresholds.</w:t>
            </w:r>
          </w:p>
        </w:tc>
      </w:tr>
      <w:tr>
        <w:trPr>
          <w:cantSplit w:val="true"/>
          <w:trHeight w:hRule="atLeast"/>
        </w:trPr>
        <w:tc>
          <w:tcPr>
            <w:tcW w:type="dxa" w:w="235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hostname</w:t>
            </w:r>
          </w:p>
        </w:tc>
        <w:tc>
          <w:tcPr>
            <w:tcW w:type="dxa" w:w="180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When URL exists</w:t>
            </w:r>
          </w:p>
        </w:tc>
        <w:tc>
          <w:tcPr>
            <w:tcW w:type="dxa" w:w="521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Lowercased parsed hostname.</w:t>
            </w:r>
          </w:p>
        </w:tc>
      </w:tr>
      <w:tr>
        <w:trPr>
          <w:cantSplit w:val="true"/>
          <w:trHeight w:hRule="atLeast"/>
        </w:trPr>
        <w:tc>
          <w:tcPr>
            <w:tcW w:type="dxa" w:w="235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canonical_url_v0</w:t>
            </w:r>
          </w:p>
        </w:tc>
        <w:tc>
          <w:tcPr>
            <w:tcW w:type="dxa" w:w="180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When URL exists</w:t>
            </w:r>
          </w:p>
        </w:tc>
        <w:tc>
          <w:tcPr>
            <w:tcW w:type="dxa" w:w="521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Conservative normalized URL for reporting slices only.</w:t>
            </w:r>
          </w:p>
        </w:tc>
      </w:tr>
    </w:tbl>
    <w:p>
      <w:pPr>
        <w:spacing w:after="0"/>
      </w:pPr>
    </w:p>
    <w:p>
      <w:pPr>
        <w:pStyle w:val="Heading2"/>
        <w:jc w:val="left"/>
        <w:keepNext/>
      </w:pPr>
      <w:r>
        <w:t>Validation and done criteria</w:t>
      </w:r>
    </w:p>
    <w:p>
      <w:pPr>
        <w:numPr>
          <w:ilvl w:val="0"/>
          <w:numId w:val="10"/>
        </w:numPr>
        <w:jc w:val="left"/>
      </w:pPr>
      <w:r>
        <w:t>Exactly 10,008,061 rows and one row per Step 1 doc_id.</w:t>
      </w:r>
    </w:p>
    <w:p>
      <w:pPr>
        <w:numPr>
          <w:ilvl w:val="0"/>
          <w:numId w:val="10"/>
        </w:numPr>
        <w:jc w:val="left"/>
      </w:pPr>
      <w:r>
        <w:t>Every final_keeper_id exists in the same predicted_cluster_key and has action = KEEP.</w:t>
      </w:r>
    </w:p>
    <w:p>
      <w:pPr>
        <w:numPr>
          <w:ilvl w:val="0"/>
          <w:numId w:val="10"/>
        </w:numPr>
        <w:jc w:val="left"/>
      </w:pPr>
      <w:r>
        <w:t>Every singleton has action = KEEP, final_keeper_id = doc_id, and predicted_group_size = 1.</w:t>
      </w:r>
    </w:p>
    <w:p>
      <w:pPr>
        <w:numPr>
          <w:ilvl w:val="0"/>
          <w:numId w:val="10"/>
        </w:numPr>
        <w:jc w:val="left"/>
      </w:pPr>
      <w:r>
        <w:t>Counts of removed IDs reconcile exactly with the Step 2 output.</w:t>
      </w:r>
    </w:p>
    <w:p>
      <w:pPr>
        <w:numPr>
          <w:ilvl w:val="0"/>
          <w:numId w:val="10"/>
        </w:numPr>
        <w:jc w:val="left"/>
      </w:pPr>
      <w:r>
        <w:t>URL parsing success, null, and failure counts are recorded; parsing failure does not drop a document.</w:t>
      </w:r>
    </w:p>
    <w:p>
      <w:pPr>
        <w:pStyle w:val="Heading1"/>
        <w:keepNext/>
      </w:pPr>
      <w:r>
        <w:t>Step 4 — Sample 1,000 Anchor Documents</w:t>
      </w:r>
    </w:p>
    <w:p>
      <w:pPr>
        <w:pStyle w:val="StepMetadata"/>
        <w:keepNext/>
      </w:pPr>
      <w:r>
        <w:rPr>
          <w:b/>
        </w:rPr>
        <w:t xml:space="preserve">OWNER  </w:t>
      </w:r>
      <w:r>
        <w:t>Hongsheng</w:t>
      </w:r>
      <w:r>
        <w:t xml:space="preserve">     |     </w:t>
      </w:r>
      <w:r>
        <w:rPr>
          <w:b/>
        </w:rPr>
        <w:t xml:space="preserve">GATE  </w:t>
      </w:r>
      <w:r>
        <w:t>BLOCKING — defines the Step 5b query population</w:t>
      </w:r>
    </w:p>
    <w:p>
      <w:pPr>
        <w:pStyle w:val="Heading2"/>
        <w:jc w:val="left"/>
        <w:keepNext/>
      </w:pPr>
      <w:r>
        <w:t>Goal</w:t>
      </w:r>
    </w:p>
    <w:p>
      <w:r>
        <w:t>Create a reproducible set of anchors that covers predicted singletons and multiple predicted-group sizes without allowing very large components to dominate. Length and language remain recorded slices in V0, not quota dimensions.</w:t>
      </w:r>
    </w:p>
    <w:p>
      <w:pPr>
        <w:pStyle w:val="Heading2"/>
        <w:jc w:val="left"/>
        <w:keepNext/>
      </w:pPr>
      <w:r>
        <w:t>Frozen V0 allocation</w:t>
      </w:r>
    </w:p>
    <w:tbl>
      <w:tblPr>
        <w:tblStyle w:val="TableGrid"/>
        <w:tblW w:type="dxa" w:w="9360"/>
        <w:tblLayout w:type="fixed"/>
        <w:tblLook w:firstColumn="1" w:firstRow="1" w:lastColumn="0" w:lastRow="0" w:noHBand="0" w:noVBand="1" w:val="04A0"/>
        <w:jc w:val="left"/>
        <w:tblInd w:w="120" w:type="dxa"/>
      </w:tblPr>
      <w:tblGrid>
        <w:gridCol w:w="4200"/>
        <w:gridCol w:w="1100"/>
        <w:gridCol w:w="4060"/>
      </w:tblGrid>
      <w:tr>
        <w:trPr>
          <w:trHeight w:hRule="atLeast"/>
          <w:tblHeader w:val="true"/>
          <w:cantSplit w:val="true"/>
        </w:trPr>
        <w:tc>
          <w:tcPr>
            <w:tcW w:type="dxa" w:w="4200"/>
            <w:tcMar>
              <w:top w:w="80" w:type="dxa"/>
              <w:start w:w="120" w:type="dxa"/>
              <w:bottom w:w="80" w:type="dxa"/>
              <w:end w:w="120" w:type="dxa"/>
            </w:tcMar>
            <w:vAlign w:val="center"/>
            <w:shd w:fill="F4F6F9"/>
          </w:tcPr>
          <w:p>
            <w:pPr>
              <w:spacing w:after="0"/>
              <w:jc w:val="center"/>
            </w:pPr>
            <w:r>
              <w:rPr>
                <w:rFonts w:ascii="Calibri" w:hAnsi="Calibri" w:eastAsia="Calibri"/>
                <w:b/>
                <w:color w:val="0B2545"/>
                <w:sz w:val="18"/>
              </w:rPr>
              <w:t>Anchor stratum</w:t>
            </w:r>
          </w:p>
        </w:tc>
        <w:tc>
          <w:tcPr>
            <w:tcW w:type="dxa" w:w="1100"/>
            <w:tcMar>
              <w:top w:w="80" w:type="dxa"/>
              <w:start w:w="120" w:type="dxa"/>
              <w:bottom w:w="80" w:type="dxa"/>
              <w:end w:w="120" w:type="dxa"/>
            </w:tcMar>
            <w:vAlign w:val="center"/>
            <w:shd w:fill="F4F6F9"/>
          </w:tcPr>
          <w:p>
            <w:pPr>
              <w:spacing w:after="0"/>
              <w:jc w:val="left"/>
            </w:pPr>
            <w:r>
              <w:rPr>
                <w:rFonts w:ascii="Calibri" w:hAnsi="Calibri" w:eastAsia="Calibri"/>
                <w:b/>
                <w:color w:val="0B2545"/>
                <w:sz w:val="18"/>
              </w:rPr>
              <w:t>Target</w:t>
            </w:r>
          </w:p>
        </w:tc>
        <w:tc>
          <w:tcPr>
            <w:tcW w:type="dxa" w:w="4060"/>
            <w:tcMar>
              <w:top w:w="80" w:type="dxa"/>
              <w:start w:w="120" w:type="dxa"/>
              <w:bottom w:w="80" w:type="dxa"/>
              <w:end w:w="120" w:type="dxa"/>
            </w:tcMar>
            <w:vAlign w:val="center"/>
            <w:shd w:fill="F4F6F9"/>
          </w:tcPr>
          <w:p>
            <w:pPr>
              <w:spacing w:after="0"/>
              <w:jc w:val="left"/>
            </w:pPr>
            <w:r>
              <w:rPr>
                <w:rFonts w:ascii="Calibri" w:hAnsi="Calibri" w:eastAsia="Calibri"/>
                <w:b/>
                <w:color w:val="0B2545"/>
                <w:sz w:val="18"/>
              </w:rPr>
              <w:t>Sampling unit</w:t>
            </w:r>
          </w:p>
        </w:tc>
      </w:tr>
      <w:tr>
        <w:trPr>
          <w:cantSplit w:val="true"/>
          <w:trHeight w:hRule="atLeast"/>
        </w:trPr>
        <w:tc>
          <w:tcPr>
            <w:tcW w:type="dxa" w:w="420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Predicted singleton</w:t>
            </w:r>
          </w:p>
        </w:tc>
        <w:tc>
          <w:tcPr>
            <w:tcW w:type="dxa" w:w="110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500</w:t>
            </w:r>
          </w:p>
        </w:tc>
        <w:tc>
          <w:tcPr>
            <w:tcW w:type="dxa" w:w="406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Uniform documents from predicted_group_id = -1.</w:t>
            </w:r>
          </w:p>
        </w:tc>
      </w:tr>
      <w:tr>
        <w:trPr>
          <w:cantSplit w:val="true"/>
          <w:trHeight w:hRule="atLeast"/>
        </w:trPr>
        <w:tc>
          <w:tcPr>
            <w:tcW w:type="dxa" w:w="420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Predicted group size = 2</w:t>
            </w:r>
          </w:p>
        </w:tc>
        <w:tc>
          <w:tcPr>
            <w:tcW w:type="dxa" w:w="110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125</w:t>
            </w:r>
          </w:p>
        </w:tc>
        <w:tc>
          <w:tcPr>
            <w:tcW w:type="dxa" w:w="406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Uniform groups, then one uniform member per selected group.</w:t>
            </w:r>
          </w:p>
        </w:tc>
      </w:tr>
      <w:tr>
        <w:trPr>
          <w:cantSplit w:val="true"/>
          <w:trHeight w:hRule="atLeast"/>
        </w:trPr>
        <w:tc>
          <w:tcPr>
            <w:tcW w:type="dxa" w:w="420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Predicted group size = 3–5</w:t>
            </w:r>
          </w:p>
        </w:tc>
        <w:tc>
          <w:tcPr>
            <w:tcW w:type="dxa" w:w="110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125</w:t>
            </w:r>
          </w:p>
        </w:tc>
        <w:tc>
          <w:tcPr>
            <w:tcW w:type="dxa" w:w="406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Uniform groups, then one uniform member per selected group.</w:t>
            </w:r>
          </w:p>
        </w:tc>
      </w:tr>
      <w:tr>
        <w:trPr>
          <w:cantSplit w:val="true"/>
          <w:trHeight w:hRule="atLeast"/>
        </w:trPr>
        <w:tc>
          <w:tcPr>
            <w:tcW w:type="dxa" w:w="420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Predicted group size = 6–20</w:t>
            </w:r>
          </w:p>
        </w:tc>
        <w:tc>
          <w:tcPr>
            <w:tcW w:type="dxa" w:w="110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125</w:t>
            </w:r>
          </w:p>
        </w:tc>
        <w:tc>
          <w:tcPr>
            <w:tcW w:type="dxa" w:w="406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Uniform groups, then one uniform member per selected group.</w:t>
            </w:r>
          </w:p>
        </w:tc>
      </w:tr>
      <w:tr>
        <w:trPr>
          <w:cantSplit w:val="true"/>
          <w:trHeight w:hRule="atLeast"/>
        </w:trPr>
        <w:tc>
          <w:tcPr>
            <w:tcW w:type="dxa" w:w="420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Predicted group size &gt;= 21</w:t>
            </w:r>
          </w:p>
        </w:tc>
        <w:tc>
          <w:tcPr>
            <w:tcW w:type="dxa" w:w="110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125</w:t>
            </w:r>
          </w:p>
        </w:tc>
        <w:tc>
          <w:tcPr>
            <w:tcW w:type="dxa" w:w="406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Uniform groups, then one uniform member per selected group.</w:t>
            </w:r>
          </w:p>
        </w:tc>
      </w:tr>
    </w:tbl>
    <w:p>
      <w:pPr>
        <w:spacing w:after="0"/>
      </w:pPr>
    </w:p>
    <w:p>
      <w:pPr>
        <w:pStyle w:val="Heading2"/>
        <w:jc w:val="left"/>
        <w:keepNext/>
      </w:pPr>
      <w:r>
        <w:t>Required procedure</w:t>
      </w:r>
    </w:p>
    <w:p>
      <w:pPr>
        <w:numPr>
          <w:ilvl w:val="0"/>
          <w:numId w:val="15"/>
        </w:numPr>
        <w:jc w:val="left"/>
      </w:pPr>
      <w:r>
        <w:t>Set anchor_seed in evaluation_manifest.json before sampling.</w:t>
      </w:r>
    </w:p>
    <w:p>
      <w:pPr>
        <w:numPr>
          <w:ilvl w:val="0"/>
          <w:numId w:val="15"/>
        </w:numPr>
        <w:jc w:val="left"/>
      </w:pPr>
      <w:r>
        <w:t>Sample 500 singleton documents uniformly without replacement.</w:t>
      </w:r>
    </w:p>
    <w:p>
      <w:pPr>
        <w:numPr>
          <w:ilvl w:val="0"/>
          <w:numId w:val="15"/>
        </w:numPr>
        <w:jc w:val="left"/>
      </w:pPr>
      <w:r>
        <w:t>For each grouped-size bucket, sample 125 predicted groups uniformly without replacement, then sample one member uniformly from each selected group. This prevents a 1,000-document component from contributing 1,000 times the anchor probability of a two-document component.</w:t>
      </w:r>
    </w:p>
    <w:p>
      <w:pPr>
        <w:numPr>
          <w:ilvl w:val="0"/>
          <w:numId w:val="15"/>
        </w:numPr>
        <w:jc w:val="left"/>
      </w:pPr>
      <w:r>
        <w:t>If a grouped-size bucket contains fewer than 125 groups, take all available groups and redistribute the unused quota across the remaining grouped buckets in proportion to their number of unsampled groups. Record the redistribution.</w:t>
      </w:r>
    </w:p>
    <w:p>
      <w:pPr>
        <w:numPr>
          <w:ilvl w:val="0"/>
          <w:numId w:val="15"/>
        </w:numPr>
        <w:jc w:val="left"/>
      </w:pPr>
      <w:r>
        <w:t>Write anchor_selection_probability. For singleton anchors this is 500/N_singletons. For a member of group g in bucket h it is min(1, n_groups_h/N_groups_h) × 1/size(g).</w:t>
      </w:r>
    </w:p>
    <w:p>
      <w:pPr>
        <w:numPr>
          <w:ilvl w:val="0"/>
          <w:numId w:val="15"/>
        </w:numPr>
        <w:jc w:val="left"/>
      </w:pPr>
      <w:r>
        <w:t>Retain language, length bucket, hostname, and action as reporting metadata. Do not change the sample after looking at judge labels.</w:t>
      </w:r>
    </w:p>
    <w:p>
      <w:pPr>
        <w:pStyle w:val="Heading2"/>
        <w:jc w:val="left"/>
        <w:keepNext/>
      </w:pPr>
      <w:r>
        <w:t>Output: anchors.parquet</w:t>
      </w:r>
    </w:p>
    <w:p>
      <w:pPr>
        <w:numPr>
          <w:ilvl w:val="0"/>
          <w:numId w:val="10"/>
        </w:numPr>
        <w:jc w:val="left"/>
      </w:pPr>
      <w:r>
        <w:t>evaluation_run_id, sut_run_id, anchor_id/doc_id, anchor_stratum, group-size bucket, language, length bucket, predicted cluster key, action, anchor selection probability, and anchor_seed.</w:t>
      </w:r>
    </w:p>
    <w:p>
      <w:pPr>
        <w:numPr>
          <w:ilvl w:val="0"/>
          <w:numId w:val="10"/>
        </w:numPr>
        <w:jc w:val="left"/>
      </w:pPr>
      <w:r>
        <w:t>Exactly 1,000 unique doc_ids unless the documented redistribution rule cannot fill the sample, in which case Step 4 stops for an explicit scope decision.</w:t>
      </w:r>
    </w:p>
    <w:p>
      <w:pPr>
        <w:pStyle w:val="Heading1"/>
      </w:pPr>
      <w:r>
        <w:t>Step 5 — Construct and Select Judge Pairs</w:t>
      </w:r>
    </w:p>
    <w:p>
      <w:pPr>
        <w:pStyle w:val="Callout"/>
        <w:shd w:fill="EAF2F8"/>
      </w:pPr>
      <w:r>
        <w:rPr>
          <w:rFonts w:ascii="Calibri" w:hAnsi="Calibri" w:eastAsia="Calibri"/>
          <w:b/>
          <w:color w:val="1F4D78"/>
          <w:sz w:val="21"/>
        </w:rPr>
        <w:t xml:space="preserve">Two frames, two questions. </w:t>
      </w:r>
      <w:r>
        <w:rPr>
          <w:rFonts w:ascii="Calibri" w:hAnsi="Calibri" w:eastAsia="Calibri"/>
          <w:color w:val="0B2545"/>
          <w:sz w:val="21"/>
        </w:rPr>
        <w:t>Step 5a samples actual SUT removal decisions and asks whether they are safe. Step 5b retrieves cross-predicted-group candidates and asks what plausible duplicates the SUT may have missed. Build, sample, and report the two frames separately.</w:t>
      </w:r>
    </w:p>
    <w:p>
      <w:pPr>
        <w:pStyle w:val="Heading2"/>
      </w:pPr>
      <w:r>
        <w:t>Step 5a — Sample Removal-Decision Pairs</w:t>
      </w:r>
    </w:p>
    <w:p>
      <w:pPr/>
      <w:r>
        <w:rPr>
          <w:b/>
          <w:color w:val="1F4D78"/>
        </w:rPr>
        <w:t xml:space="preserve">Owner: </w:t>
      </w:r>
      <w:r>
        <w:t>Hongsheng. Required V0 stream. Total budget: 10,000 pairs.</w:t>
      </w:r>
    </w:p>
    <w:p>
      <w:pPr>
        <w:pStyle w:val="Heading3"/>
        <w:jc w:val="left"/>
        <w:keepNext/>
      </w:pPr>
      <w:r>
        <w:t>Primary removal-decision frame</w:t>
      </w:r>
    </w:p>
    <w:p>
      <w:r>
        <w:t>For every document with action = REMOVE, create exactly one directional pair (final_keeper_id, removed_doc_id). This is the action the SUT effectively takes: the retained document is expected to safely represent the removed document.</w:t>
      </w:r>
    </w:p>
    <w:p>
      <w:pPr>
        <w:pStyle w:val="CodeBlock"/>
        <w:shd w:fill="F1F3F5"/>
      </w:pPr>
      <w:r>
        <w:rPr>
          <w:rFonts w:ascii="Menlo" w:hAnsi="Menlo" w:eastAsia="Menlo"/>
          <w:color w:val="0B2545"/>
          <w:sz w:val="17"/>
        </w:rPr>
        <w:t>pair_role = 'removal_decision'</w:t>
      </w:r>
      <w:r>
        <w:br/>
      </w:r>
      <w:r>
        <w:rPr>
          <w:rFonts w:ascii="Menlo" w:hAnsi="Menlo" w:eastAsia="Menlo"/>
          <w:color w:val="0B2545"/>
          <w:sz w:val="17"/>
        </w:rPr>
        <w:t>doc_a = final_keeper_id</w:t>
      </w:r>
      <w:r>
        <w:br/>
      </w:r>
      <w:r>
        <w:rPr>
          <w:rFonts w:ascii="Menlo" w:hAnsi="Menlo" w:eastAsia="Menlo"/>
          <w:color w:val="0B2545"/>
          <w:sz w:val="17"/>
        </w:rPr>
        <w:t>doc_b = removed_doc_id</w:t>
      </w:r>
      <w:r>
        <w:br/>
      </w:r>
      <w:r>
        <w:rPr>
          <w:rFonts w:ascii="Menlo" w:hAnsi="Menlo" w:eastAsia="Menlo"/>
          <w:color w:val="0B2545"/>
          <w:sz w:val="17"/>
        </w:rPr>
        <w:t>assert action(doc_a) == 'KEEP'</w:t>
      </w:r>
      <w:r>
        <w:br/>
      </w:r>
      <w:r>
        <w:rPr>
          <w:rFonts w:ascii="Menlo" w:hAnsi="Menlo" w:eastAsia="Menlo"/>
          <w:color w:val="0B2545"/>
          <w:sz w:val="17"/>
        </w:rPr>
        <w:t>assert action(doc_b) == 'REMOVE'</w:t>
      </w:r>
      <w:r>
        <w:br/>
      </w:r>
      <w:r>
        <w:rPr>
          <w:rFonts w:ascii="Menlo" w:hAnsi="Menlo" w:eastAsia="Menlo"/>
          <w:color w:val="0B2545"/>
          <w:sz w:val="17"/>
        </w:rPr>
        <w:t>assert predicted_cluster_key(doc_a) == predicted_cluster_key(doc_b)</w:t>
      </w:r>
    </w:p>
    <w:p>
      <w:pPr>
        <w:pStyle w:val="Heading3"/>
        <w:jc w:val="left"/>
        <w:keepNext/>
      </w:pPr>
      <w:r>
        <w:t>Required main sample</w:t>
      </w:r>
    </w:p>
    <w:p>
      <w:pPr>
        <w:numPr>
          <w:ilvl w:val="0"/>
          <w:numId w:val="10"/>
        </w:numPr>
        <w:jc w:val="left"/>
      </w:pPr>
      <w:r>
        <w:t>Let N_remove be the number of rows in the complete removal-decision frame.</w:t>
      </w:r>
    </w:p>
    <w:p>
      <w:pPr>
        <w:numPr>
          <w:ilvl w:val="0"/>
          <w:numId w:val="10"/>
        </w:numPr>
        <w:jc w:val="left"/>
      </w:pPr>
      <w:r>
        <w:t>Reserve 9,500 positions for a uniform sample without replacement using pair_seed. If the optional minimum-diff slice is not built, use all 10,000 positions for this uniform sample.</w:t>
      </w:r>
    </w:p>
    <w:p>
      <w:pPr>
        <w:numPr>
          <w:ilvl w:val="0"/>
          <w:numId w:val="10"/>
        </w:numPr>
        <w:jc w:val="left"/>
      </w:pPr>
      <w:r>
        <w:t>Record main_sample_probability = n_main/N_remove for every main-sample pair.</w:t>
      </w:r>
    </w:p>
    <w:p>
      <w:pPr>
        <w:numPr>
          <w:ilvl w:val="0"/>
          <w:numId w:val="10"/>
        </w:numPr>
        <w:jc w:val="left"/>
      </w:pPr>
      <w:r>
        <w:t>Do not replace keeper-to-removed pairs with arbitrary within-group pairs. The primary V0 question concerns actual removal decisions.</w:t>
      </w:r>
    </w:p>
    <w:p>
      <w:pPr>
        <w:pStyle w:val="Heading3"/>
        <w:jc w:val="left"/>
        <w:keepNext/>
      </w:pPr>
      <w:r>
        <w:t>Optional minimum-diff removal risk slice — non-blocking</w:t>
      </w:r>
    </w:p>
    <w:p>
      <w:r>
        <w:t>Reserve up to 500 of the 10,000 Step 5a positions for natural removal decisions whose texts are nearly identical but differ in a potentially material field. This is a challenge slice, not a separate corpus-wide retriever and not part of the main removal-precision estimate.</w:t>
      </w:r>
    </w:p>
    <w:p>
      <w:pPr>
        <w:numPr>
          <w:ilvl w:val="0"/>
          <w:numId w:val="16"/>
        </w:numPr>
        <w:jc w:val="left"/>
      </w:pPr>
      <w:r>
        <w:t>Compute a token- or character-alignment summary for keeper-to-removed pairs. Derive edit_ratio, changed_span_count, and changed token spans.</w:t>
      </w:r>
    </w:p>
    <w:p>
      <w:pPr>
        <w:numPr>
          <w:ilvl w:val="0"/>
          <w:numId w:val="16"/>
        </w:numPr>
        <w:jc w:val="left"/>
      </w:pPr>
      <w:r>
        <w:t>A pair is eligible when 0 &lt; edit_ratio &lt;= 0.05 and at least one changed span matches a material category: number, date/time, product/version, URL, named entity, negation, code literal/output, or short paragraph insertion/deletion.</w:t>
      </w:r>
    </w:p>
    <w:p>
      <w:pPr>
        <w:numPr>
          <w:ilvl w:val="0"/>
          <w:numId w:val="16"/>
        </w:numPr>
        <w:jc w:val="left"/>
      </w:pPr>
      <w:r>
        <w:t>Stratify eligible pairs by the first material category under the fixed precedence above and sample up to 500 with approximately equal allocation across non-empty categories.</w:t>
      </w:r>
    </w:p>
    <w:p>
      <w:pPr>
        <w:numPr>
          <w:ilvl w:val="0"/>
          <w:numId w:val="16"/>
        </w:numPr>
        <w:jc w:val="left"/>
      </w:pPr>
      <w:r>
        <w:t>If the alignment and material-span classifier are not ready, skip this slice and fill the Step 5a budget with 10,000 uniform removal-decision pairs. Skipping it must not block V0.</w:t>
      </w:r>
    </w:p>
    <w:p>
      <w:pPr>
        <w:pStyle w:val="Heading3"/>
        <w:jc w:val="left"/>
        <w:keepNext/>
      </w:pPr>
      <w:r>
        <w:t>Step 5a output and validation</w:t>
      </w:r>
    </w:p>
    <w:p>
      <w:pPr>
        <w:numPr>
          <w:ilvl w:val="0"/>
          <w:numId w:val="10"/>
        </w:numPr>
        <w:jc w:val="left"/>
      </w:pPr>
      <w:r>
        <w:t>removal_pairs_selected.parquet with pair_role, keeper/removed direction, main or minimum_diff stream, frame size, stratum, selection probability where defined, and all document metadata needed after judging.</w:t>
      </w:r>
    </w:p>
    <w:p>
      <w:pPr>
        <w:numPr>
          <w:ilvl w:val="0"/>
          <w:numId w:val="10"/>
        </w:numPr>
        <w:jc w:val="left"/>
      </w:pPr>
      <w:r>
        <w:t>No self-pairs, no missing texts, no duplicate directional decisions, and every pair is within one predicted cluster.</w:t>
      </w:r>
    </w:p>
    <w:p>
      <w:pPr>
        <w:numPr>
          <w:ilvl w:val="0"/>
          <w:numId w:val="10"/>
        </w:numPr>
        <w:jc w:val="left"/>
      </w:pPr>
      <w:r>
        <w:t>Exactly 10,000 selected rows when N_remove &gt;= 10,000; otherwise select the full frame and record the smaller count.</w:t>
      </w:r>
    </w:p>
    <w:p>
      <w:pPr>
        <w:pStyle w:val="Heading2"/>
      </w:pPr>
      <w:r>
        <w:t>Step 5b — Retrieve Anchor-Based Cross-Group Candidates</w:t>
      </w:r>
    </w:p>
    <w:p>
      <w:pPr/>
      <w:r>
        <w:rPr>
          <w:b/>
          <w:color w:val="1F4D78"/>
        </w:rPr>
        <w:t xml:space="preserve">Owner: </w:t>
      </w:r>
      <w:r>
        <w:t>Hongsheng. Required V0 stream. Budget: up to 10,000 unique pairs.</w:t>
      </w:r>
    </w:p>
    <w:p>
      <w:pPr>
        <w:pStyle w:val="Heading3"/>
        <w:jc w:val="left"/>
        <w:keepNext/>
      </w:pPr>
      <w:r>
        <w:t>Goal and precondition</w:t>
      </w:r>
    </w:p>
    <w:p>
      <w:r>
        <w:t>Find plausible duplicate or hard-negative candidates that the SUT assigned to different predicted clusters. Exact-match retrieval is excluded because the Step 1 corpus has already been exact-deduplicated. V0 uses exactly two complementary retrieval channels.</w:t>
      </w:r>
    </w:p>
    <w:p>
      <w:pPr>
        <w:pStyle w:val="Heading3"/>
        <w:jc w:val="left"/>
        <w:keepNext/>
      </w:pPr>
      <w:r>
        <w:t>Channel 1 — relaxed lexical retrieval</w:t>
      </w:r>
    </w:p>
    <w:p>
      <w:pPr>
        <w:numPr>
          <w:ilvl w:val="0"/>
          <w:numId w:val="17"/>
        </w:numPr>
        <w:jc w:val="left"/>
      </w:pPr>
      <w:r>
        <w:t>Use a second MinHash/LSH candidate-generation configuration that is more permissive than the frozen SUT. This is a retriever only; it does not change SUT predictions.</w:t>
      </w:r>
    </w:p>
    <w:p>
      <w:pPr>
        <w:numPr>
          <w:ilvl w:val="0"/>
          <w:numId w:val="17"/>
        </w:numPr>
        <w:jc w:val="left"/>
      </w:pPr>
      <w:r>
        <w:t>Tune the retrieval configuration on 100 fixed pilot anchors before the judge run. Choose and freeze a configuration whose median number of cross-predicted-group candidates is between 20 and 50 per anchor; log every tried configuration and candidate-count summary.</w:t>
      </w:r>
    </w:p>
    <w:p>
      <w:pPr>
        <w:numPr>
          <w:ilvl w:val="0"/>
          <w:numId w:val="17"/>
        </w:numPr>
        <w:jc w:val="left"/>
      </w:pPr>
      <w:r>
        <w:t>For each of the 1,000 anchors, collect up to the top 50 lexical candidates. Remove self-pairs and every pair with the same predicted_cluster_key.</w:t>
      </w:r>
    </w:p>
    <w:p>
      <w:pPr>
        <w:numPr>
          <w:ilvl w:val="0"/>
          <w:numId w:val="17"/>
        </w:numPr>
        <w:jc w:val="left"/>
      </w:pPr>
      <w:r>
        <w:t>For retained candidates compute exact n-gram Jaccard, symmetric containment, length ratio, lexical rank, and the retrieval configuration ID.</w:t>
      </w:r>
    </w:p>
    <w:p>
      <w:pPr>
        <w:pStyle w:val="CodeBlock"/>
        <w:shd w:fill="F1F3F5"/>
      </w:pPr>
      <w:r>
        <w:rPr>
          <w:rFonts w:ascii="Menlo" w:hAnsi="Menlo" w:eastAsia="Menlo"/>
          <w:color w:val="0B2545"/>
          <w:sz w:val="17"/>
        </w:rPr>
        <w:t>jaccard(A,B) = |S_A ∩ S_B| / |S_A ∪ S_B|</w:t>
      </w:r>
      <w:r>
        <w:br/>
      </w:r>
      <w:r>
        <w:rPr>
          <w:rFonts w:ascii="Menlo" w:hAnsi="Menlo" w:eastAsia="Menlo"/>
          <w:color w:val="0B2545"/>
          <w:sz w:val="17"/>
        </w:rPr>
        <w:t>containment(A,B) = |S_A ∩ S_B| / min(|S_A|, |S_B|)</w:t>
      </w:r>
      <w:r>
        <w:br/>
      </w:r>
      <w:r>
        <w:rPr>
          <w:rFonts w:ascii="Menlo" w:hAnsi="Menlo" w:eastAsia="Menlo"/>
          <w:color w:val="0B2545"/>
          <w:sz w:val="17"/>
        </w:rPr>
        <w:t>length_ratio(A,B) = min(tokens_A, tokens_B) / max(tokens_A, tokens_B)</w:t>
      </w:r>
    </w:p>
    <w:p>
      <w:pPr>
        <w:pStyle w:val="Heading3"/>
        <w:jc w:val="left"/>
        <w:keepNext/>
      </w:pPr>
      <w:r>
        <w:t>Channel 2 — semantic embedding retrieval</w:t>
      </w:r>
    </w:p>
    <w:p>
      <w:pPr>
        <w:numPr>
          <w:ilvl w:val="0"/>
          <w:numId w:val="18"/>
        </w:numPr>
        <w:jc w:val="left"/>
      </w:pPr>
      <w:r>
        <w:t>Use the verified [10,008,061, 768] normalized EmbeddingGemma matrix and its frozen SHA-256. Treat it as already L2-normalized, do not normalize it a second time in place, and do not mix embedding models or modes within a run.</w:t>
      </w:r>
    </w:p>
    <w:p>
      <w:pPr>
        <w:numPr>
          <w:ilvl w:val="0"/>
          <w:numId w:val="18"/>
        </w:numPr>
        <w:jc w:val="left"/>
      </w:pPr>
      <w:r>
        <w:t>Build or reuse one vector index over all 10,008,061 corpus embeddings. Query each Step 4 anchor for top_k = 50 neighbors and log index type, build parameters, search parameters, input embedding checksum, and any truncation. Do not treat the delivered 530 upstream hard negatives as if they were generated from the Step 4 anchors.</w:t>
      </w:r>
    </w:p>
    <w:p>
      <w:pPr>
        <w:numPr>
          <w:ilvl w:val="0"/>
          <w:numId w:val="18"/>
        </w:numPr>
        <w:jc w:val="left"/>
      </w:pPr>
      <w:r>
        <w:t>Remove the anchor itself and every candidate with the same predicted_cluster_key.</w:t>
      </w:r>
    </w:p>
    <w:p>
      <w:pPr>
        <w:numPr>
          <w:ilvl w:val="0"/>
          <w:numId w:val="18"/>
        </w:numPr>
        <w:jc w:val="left"/>
      </w:pPr>
      <w:r>
        <w:t>For each retained semantic candidate, store cosine score and semantic rank, then compute the same exact Jaccard, containment, and length-ratio features used for lexical candidates.</w:t>
      </w:r>
    </w:p>
    <w:p>
      <w:pPr>
        <w:numPr>
          <w:ilvl w:val="0"/>
          <w:numId w:val="18"/>
        </w:numPr>
        <w:jc w:val="left"/>
      </w:pPr>
      <w:r>
        <w:t>Mark semantic_high_lexical_low using frozen pilot quantiles rather than an invented universal threshold: cosine at or above the pilot P90 and Jaccard below the pilot median. Store the actual numeric cutoffs.</w:t>
      </w:r>
    </w:p>
    <w:p>
      <w:pPr>
        <w:pStyle w:val="Heading3"/>
        <w:jc w:val="left"/>
        <w:keepNext/>
      </w:pPr>
      <w:r>
        <w:t>Union, per-anchor quota, and refill rule</w:t>
      </w:r>
    </w:p>
    <w:p>
      <w:pPr>
        <w:numPr>
          <w:ilvl w:val="0"/>
          <w:numId w:val="19"/>
        </w:numPr>
        <w:jc w:val="left"/>
      </w:pPr>
      <w:r>
        <w:t>Create an anchor-candidate record for every retrieval result. Canonicalize the unordered endpoints using the versioned cp1 algorithm defined in Step 5c, and retain anchor_id plus all channel-specific provenance as separate provenance records.</w:t>
      </w:r>
    </w:p>
    <w:p>
      <w:pPr>
        <w:numPr>
          <w:ilvl w:val="0"/>
          <w:numId w:val="19"/>
        </w:numPr>
        <w:jc w:val="left"/>
      </w:pPr>
      <w:r>
        <w:t>Classify each candidate for an anchor as lexical_only, semantic_only, or both.</w:t>
      </w:r>
    </w:p>
    <w:p>
      <w:pPr>
        <w:numPr>
          <w:ilvl w:val="0"/>
          <w:numId w:val="19"/>
        </w:numPr>
        <w:jc w:val="left"/>
      </w:pPr>
      <w:r>
        <w:t>Select up to four lexical_only candidates by descending exact Jaccard, four semantic_only candidates by descending cosine while prioritizing semantic_high_lexical_low, and two both-channel candidates by the lowest sum of normalized lexical and semantic ranks.</w:t>
      </w:r>
    </w:p>
    <w:p>
      <w:pPr>
        <w:numPr>
          <w:ilvl w:val="0"/>
          <w:numId w:val="19"/>
        </w:numPr>
        <w:jc w:val="left"/>
      </w:pPr>
      <w:r>
        <w:t>If a quota is sparse, fill the anchor's remaining positions from all unselected cross-group candidates sorted by best normalized rank, then canonical pair ID as the deterministic tie-breaker.</w:t>
      </w:r>
    </w:p>
    <w:p>
      <w:pPr>
        <w:numPr>
          <w:ilvl w:val="0"/>
          <w:numId w:val="19"/>
        </w:numPr>
        <w:jc w:val="left"/>
      </w:pPr>
      <w:r>
        <w:t>Deduplicate selected canonical pair IDs globally. A pair selected from multiple anchors or streams is judged once, with all memberships preserved.</w:t>
      </w:r>
    </w:p>
    <w:p>
      <w:pPr>
        <w:numPr>
          <w:ilvl w:val="0"/>
          <w:numId w:val="19"/>
        </w:numPr>
        <w:jc w:val="left"/>
      </w:pPr>
      <w:r>
        <w:t>If global deduplication produces fewer than 10,000 unique pairs, refill from the globally unselected candidate pool using the same deterministic best-rank order until 10,000 are selected or the pool is exhausted.</w:t>
      </w:r>
    </w:p>
    <w:p>
      <w:pPr>
        <w:pStyle w:val="Heading3"/>
        <w:jc w:val="left"/>
        <w:keepNext/>
      </w:pPr>
      <w:r>
        <w:t>Step 5b output and validation</w:t>
      </w:r>
    </w:p>
    <w:p>
      <w:pPr>
        <w:numPr>
          <w:ilvl w:val="0"/>
          <w:numId w:val="10"/>
        </w:numPr>
        <w:jc w:val="left"/>
      </w:pPr>
      <w:r>
        <w:t>cross_group_pairs_selected.parquet plus a pair_provenance table containing every anchor/channel membership, score, rank, stratum, and selection rule.</w:t>
      </w:r>
    </w:p>
    <w:p>
      <w:pPr>
        <w:numPr>
          <w:ilvl w:val="0"/>
          <w:numId w:val="10"/>
        </w:numPr>
        <w:jc w:val="left"/>
      </w:pPr>
      <w:r>
        <w:t>Every selected pair has different predicted_cluster_key values, valid text for both endpoints, and at least one retrieval source.</w:t>
      </w:r>
    </w:p>
    <w:p>
      <w:pPr>
        <w:numPr>
          <w:ilvl w:val="0"/>
          <w:numId w:val="10"/>
        </w:numPr>
        <w:jc w:val="left"/>
      </w:pPr>
      <w:r>
        <w:t>Report candidate counts before and after every filter, per channel and per anchor. Do not silently drop anchors with zero candidates.</w:t>
      </w:r>
    </w:p>
    <w:p>
      <w:pPr>
        <w:pStyle w:val="Heading3"/>
        <w:jc w:val="left"/>
        <w:keepNext/>
      </w:pPr>
      <w:r>
        <w:t>Deferred retrieval channels and why</w:t>
      </w:r>
    </w:p>
    <w:p>
      <w:pPr>
        <w:numPr>
          <w:ilvl w:val="0"/>
          <w:numId w:val="10"/>
        </w:numPr>
        <w:jc w:val="left"/>
      </w:pPr>
      <w:r>
        <w:rPr>
          <w:b/>
        </w:rPr>
        <w:t>Suffix-array or ExactSubstr retrieval (Next Version) — as a long shared-span retriever.</w:t>
      </w:r>
      <w:r>
        <w:t xml:space="preserve"> It can find copied paragraphs, quoted articles, and reused code inside otherwise different documents. It is deferred because it requires a corpus-wide substring index plus minimum-span and boilerplate rules that can cause candidate explosion. V0 lexical retrieval and pair-level containment provide a lower-cost first signal.</w:t>
      </w:r>
    </w:p>
    <w:p>
      <w:pPr>
        <w:numPr>
          <w:ilvl w:val="0"/>
          <w:numId w:val="10"/>
        </w:numPr>
        <w:jc w:val="left"/>
      </w:pPr>
      <w:r>
        <w:rPr>
          <w:b/>
        </w:rPr>
        <w:t>Standalone containment retrieval (Next Version) — as an asymmetric partial-copy retriever.</w:t>
      </w:r>
      <w:r>
        <w:t xml:space="preserve"> It targets cases where a short document is embedded in a much longer one. A full retrieval channel needs an inverted n-gram index or containment-oriented LSH and careful boilerplate control. V0 computes containment only on pairs found by the two required channels.</w:t>
      </w:r>
    </w:p>
    <w:p>
      <w:pPr>
        <w:numPr>
          <w:ilvl w:val="0"/>
          <w:numId w:val="10"/>
        </w:numPr>
        <w:jc w:val="left"/>
      </w:pPr>
      <w:r>
        <w:rPr>
          <w:b/>
        </w:rPr>
        <w:t>BM25 or TF-IDF retrieval (Next Version) — as a sparse token-based lexical retriever.</w:t>
      </w:r>
      <w:r>
        <w:t xml:space="preserve"> It may find reordered text and documents sharing rare terms, but requires a separate index and multilingual tokenization choices and overlaps with relaxed n-gram retrieval. One lexical channel is sufficient to exercise V0.</w:t>
      </w:r>
    </w:p>
    <w:p>
      <w:pPr>
        <w:numPr>
          <w:ilvl w:val="0"/>
          <w:numId w:val="10"/>
        </w:numPr>
        <w:jc w:val="left"/>
      </w:pPr>
      <w:r>
        <w:rPr>
          <w:b/>
        </w:rPr>
        <w:t>SimHash retrieval (Next Version) — as a compact whole-document lexical retriever.</w:t>
      </w:r>
      <w:r>
        <w:t xml:space="preserve"> It needs new fingerprints, a Hamming-distance index, and radius calibration, while its expected V0 coverage is highly correlated with MinHash. Its value should be judged later by unique-positive contribution.</w:t>
      </w:r>
    </w:p>
    <w:p>
      <w:pPr>
        <w:numPr>
          <w:ilvl w:val="0"/>
          <w:numId w:val="10"/>
        </w:numPr>
        <w:jc w:val="left"/>
      </w:pPr>
      <w:r>
        <w:rPr>
          <w:b/>
        </w:rPr>
        <w:t>URL, source, and crawl-time retrieval (Next Version) — as a metadata and temporal retriever.</w:t>
      </w:r>
      <w:r>
        <w:t xml:space="preserve"> It can find page versions and syndicated copies, but needs a frozen URL-canonicalization policy and enough repeated crawl coverage. URL/source equality is not duplicate truth. V0 retains same URL, hostname, source, and time delta only as features and slices.</w:t>
      </w:r>
    </w:p>
    <w:p>
      <w:pPr>
        <w:numPr>
          <w:ilvl w:val="0"/>
          <w:numId w:val="10"/>
        </w:numPr>
        <w:jc w:val="left"/>
      </w:pPr>
      <w:r>
        <w:rPr>
          <w:b/>
        </w:rPr>
        <w:t>Alternative-parser retrieval (Next Version) — as an extraction-robustness retriever.</w:t>
      </w:r>
      <w:r>
        <w:t xml:space="preserve"> It requires raw HTML reprocessing, a second parser, stable alignment to doc_id, and analysis that separates parser failures from dedup failures. V0 fixes one normalization_version to keep the SUT boundary reproducible.</w:t>
      </w:r>
    </w:p>
    <w:p>
      <w:pPr>
        <w:pStyle w:val="Heading2"/>
      </w:pPr>
      <w:r>
        <w:t>Step 5c — Canonicalize the Combined Judge Queue</w:t>
      </w:r>
    </w:p>
    <w:p>
      <w:pPr/>
      <w:r>
        <w:rPr>
          <w:b/>
          <w:color w:val="1F4D78"/>
        </w:rPr>
        <w:t xml:space="preserve">Owner: </w:t>
      </w:r>
      <w:r>
        <w:t>Hongsheng. Required after Steps 5a and 5b.</w:t>
      </w:r>
    </w:p>
    <w:p>
      <w:pPr>
        <w:numPr>
          <w:ilvl w:val="0"/>
          <w:numId w:val="20"/>
        </w:numPr>
        <w:jc w:val="left"/>
      </w:pPr>
      <w:r>
        <w:t>Concatenate the selected Step 5a and Step 5b records, reject self-pairs, and canonicalize each unordered endpoint pair with canonical_pair_id_version = 'cp1'. Compare the original doc_id values by their unmodified UTF-8 byte sequences; the lower byte sequence becomes doc_id_low and the higher becomes doc_id_high. Do not trim, case-fold, normalize Unicode, or reinterpret numeric-looking IDs.</w:t>
      </w:r>
    </w:p>
    <w:p>
      <w:pPr>
        <w:pStyle w:val="CodeBlock"/>
      </w:pPr>
      <w:r>
        <w:t>low_bytes, high_bytes = sort_utf8_bytes(doc_i, doc_j)</w:t>
        <w:br/>
        <w:t>payload = (</w:t>
        <w:br/>
        <w:t xml:space="preserve">    b'nemo-curator-dedup-pair-v1'</w:t>
        <w:br/>
        <w:t xml:space="preserve">    + uint64_big_endian(len(low_bytes)) + low_bytes</w:t>
        <w:br/>
        <w:t xml:space="preserve">    + uint64_big_endian(len(high_bytes)) + high_bytes</w:t>
        <w:br/>
        <w:t>)</w:t>
        <w:br/>
        <w:t>canonical_pair_id = 'cp1_' + sha256(payload).hexdigest()</w:t>
      </w:r>
    </w:p>
    <w:p>
      <w:pPr>
        <w:pStyle w:val="Paragraph"/>
      </w:pPr>
      <w:r>
        <w:t>The domain tag and two unsigned 64-bit big-endian length prefixes are part of the hashed payload. They prevent delimiter ambiguity and make the ID reproducible across implementations. Store doc_id_low, doc_id_high, and canonical_pair_id_version alongside the hash; the hash is an identifier, not a substitute for the endpoints.</w:t>
      </w:r>
    </w:p>
    <w:p>
      <w:pPr>
        <w:pStyle w:val="Paragraph"/>
      </w:pPr>
      <w:r>
        <w:t>Validation must prove that each endpoint tuple maps to exactly one canonical_pair_id, each canonical_pair_id maps back to exactly one endpoint tuple, and every independently repeated computation produces the same value. An ID collision, version mismatch, malformed UTF-8 ID, or self-pair stops Step 5c.</w:t>
      </w:r>
    </w:p>
    <w:p>
      <w:pPr>
        <w:numPr>
          <w:ilvl w:val="0"/>
          <w:numId w:val="20"/>
        </w:numPr>
        <w:jc w:val="left"/>
      </w:pPr>
      <w:r>
        <w:t>Judge each canonical_pair_id once. Preserve ordered keeper/removed roles separately for Step 5a; canonicalization must not erase direction.</w:t>
      </w:r>
    </w:p>
    <w:p>
      <w:pPr>
        <w:pStyle w:val="Heading3"/>
      </w:pPr>
      <w:r>
        <w:t>Required pair/provenance physical model</w:t>
      </w:r>
    </w:p>
    <w:p>
      <w:pPr>
        <w:pStyle w:val="Paragraph"/>
      </w:pPr>
      <w:r>
        <w:t>Write candidate_pairs.parquet with exactly one row per canonical_pair_id. It contains evaluation_run_id, canonical_pair_id_version, canonical_pair_id, doc_id_low, doc_id_high, stable text references or payload-source fields, neutral per-endpoint metadata, judge presentation order, judge_payload_hash when available, and judge-result status or foreign keys. A pair is never duplicated because it appeared in multiple tracks, anchors, or retrieval channels.</w:t>
      </w:r>
    </w:p>
    <w:p>
      <w:pPr>
        <w:pStyle w:val="Paragraph"/>
      </w:pPr>
      <w:r>
        <w:t>Write pair_provenance.parquet with one row per selection or provenance event and one stable provenance_record_id. Every row references canonical_pair_id and records the originating track and stream, ordered keeper/removed roles for Step 5a, anchor membership for Step 5b, retriever and configuration ID, scores and ranks, selection stratum and rule, frame size, and selection probability where it is defined. SUT and retrieval fields remain hidden from the judge.</w:t>
      </w:r>
    </w:p>
    <w:p>
      <w:pPr>
        <w:pStyle w:val="Paragraph"/>
      </w:pPr>
      <w:r>
        <w:t>removal_pairs_selected.parquet and cross_group_pairs_selected.parquet may remain as track-specific work artifacts or reproducible views, but candidate_pairs.parquet and pair_provenance.parquet are the authoritative combined data contract used to build the unique judge queue. Do not encode one-to-many provenance only as a lossy comma-separated field or discard duplicate selection events.</w:t>
      </w:r>
    </w:p>
    <w:p>
      <w:pPr>
        <w:pStyle w:val="Paragraph"/>
      </w:pPr>
      <w:r>
        <w:t>Enforce a foreign-key validation from every provenance row to candidate_pairs.parquet, require at least one provenance row per candidate pair, require one endpoint tuple per canonical_pair_id, and reject duplicate provenance_record_id values. Emit counts of pairs with multiple tracks, anchors, and retrievers as part of Step 5c accounting.</w:t>
      </w:r>
    </w:p>
    <w:p>
      <w:pPr>
        <w:numPr>
          <w:ilvl w:val="0"/>
          <w:numId w:val="20"/>
        </w:numPr>
        <w:jc w:val="left"/>
      </w:pPr>
      <w:r>
        <w:t>Randomize the A/B presentation order using judge_order_seed. Store the permutation so directional replaceability can be mapped back to keeper/removed after judging.</w:t>
      </w:r>
    </w:p>
    <w:p>
      <w:pPr>
        <w:numPr>
          <w:ilvl w:val="0"/>
          <w:numId w:val="20"/>
        </w:numPr>
        <w:jc w:val="left"/>
      </w:pPr>
      <w:r>
        <w:t>Assign judge_payload_hash over the exact visible payload. Reusing an existing judgment is allowed only when payload hash, judge model, prompt version, and schema version all match.</w:t>
      </w:r>
    </w:p>
    <w:p>
      <w:pPr>
        <w:pStyle w:val="Heading1"/>
        <w:keepNext/>
      </w:pPr>
      <w:r>
        <w:t>Step 6 — Run the Blind Model Judge</w:t>
      </w:r>
    </w:p>
    <w:p>
      <w:pPr>
        <w:pStyle w:val="StepMetadata"/>
        <w:keepNext/>
      </w:pPr>
      <w:r>
        <w:rPr>
          <w:b/>
        </w:rPr>
        <w:t xml:space="preserve">OWNER  </w:t>
      </w:r>
      <w:r>
        <w:t>Hongsheng</w:t>
      </w:r>
      <w:r>
        <w:t xml:space="preserve">     |     </w:t>
      </w:r>
      <w:r>
        <w:rPr>
          <w:b/>
        </w:rPr>
        <w:t xml:space="preserve">GATE  </w:t>
      </w:r>
      <w:r>
        <w:t>BLOCKING — every selected unique pair receives a schema-valid result</w:t>
      </w:r>
    </w:p>
    <w:p>
      <w:pPr>
        <w:pStyle w:val="Heading2"/>
        <w:jc w:val="left"/>
        <w:keepNext/>
      </w:pPr>
      <w:r>
        <w:t>Goal</w:t>
      </w:r>
    </w:p>
    <w:p>
      <w:r>
        <w:t>Produce one machine-validated, auditable judgment for every unique selected pair. The judge determines duplicate relation and directional replaceability; it does not see how the pair was selected or what the SUT predicted.</w:t>
      </w:r>
    </w:p>
    <w:p>
      <w:pPr>
        <w:pStyle w:val="Heading2"/>
        <w:jc w:val="left"/>
        <w:keepNext/>
      </w:pPr>
      <w:r>
        <w:t>Visible judge payload</w:t>
      </w:r>
    </w:p>
    <w:p>
      <w:pPr>
        <w:numPr>
          <w:ilvl w:val="0"/>
          <w:numId w:val="10"/>
        </w:numPr>
        <w:jc w:val="left"/>
      </w:pPr>
      <w:r>
        <w:t>Text A and Text B, or the deterministic long-document evidence package described below.</w:t>
      </w:r>
    </w:p>
    <w:p>
      <w:pPr>
        <w:numPr>
          <w:ilvl w:val="0"/>
          <w:numId w:val="10"/>
        </w:numPr>
        <w:jc w:val="left"/>
      </w:pPr>
      <w:r>
        <w:t>Neutral metadata needed to interpret versioning or source context: URL, crawl timestamp, language, and text length. Missing metadata remains null.</w:t>
      </w:r>
    </w:p>
    <w:p>
      <w:pPr>
        <w:numPr>
          <w:ilvl w:val="0"/>
          <w:numId w:val="10"/>
        </w:numPr>
        <w:jc w:val="left"/>
      </w:pPr>
      <w:r>
        <w:t>Optional aligned diff spans for minimum-diff pairs, presented without the minimum-diff label or any retrieval score.</w:t>
      </w:r>
    </w:p>
    <w:p>
      <w:pPr>
        <w:pStyle w:val="Heading2"/>
        <w:jc w:val="left"/>
        <w:keepNext/>
      </w:pPr>
      <w:r>
        <w:t>Strictly hidden from the judge</w:t>
      </w:r>
    </w:p>
    <w:p>
      <w:pPr>
        <w:numPr>
          <w:ilvl w:val="0"/>
          <w:numId w:val="10"/>
        </w:numPr>
        <w:jc w:val="left"/>
      </w:pPr>
      <w:r>
        <w:t>predicted_group_id, predicted_cluster_key, KEEP/REMOVE, and final_keeper_id;</w:t>
      </w:r>
    </w:p>
    <w:p>
      <w:pPr>
        <w:numPr>
          <w:ilvl w:val="0"/>
          <w:numId w:val="10"/>
        </w:numPr>
        <w:jc w:val="left"/>
      </w:pPr>
      <w:r>
        <w:t>track, stream, anchor status, retriever names, source bitmask, ranks, scores, and sampling probabilities;</w:t>
      </w:r>
    </w:p>
    <w:p>
      <w:pPr>
        <w:numPr>
          <w:ilvl w:val="0"/>
          <w:numId w:val="10"/>
        </w:numPr>
        <w:jc w:val="left"/>
      </w:pPr>
      <w:r>
        <w:t>expected confusion-matrix cell or any earlier model/human label.</w:t>
      </w:r>
    </w:p>
    <w:p>
      <w:pPr>
        <w:pStyle w:val="Heading2"/>
        <w:jc w:val="left"/>
        <w:keepNext/>
      </w:pPr>
      <w:r>
        <w:t>Long-document handling</w:t>
      </w:r>
    </w:p>
    <w:p>
      <w:pPr>
        <w:numPr>
          <w:ilvl w:val="0"/>
          <w:numId w:val="21"/>
        </w:numPr>
        <w:jc w:val="left"/>
      </w:pPr>
      <w:r>
        <w:t>Set max_visible_tokens in judge_config.json based on the chosen model context window, reserving at least 20% for instructions and output.</w:t>
      </w:r>
    </w:p>
    <w:p>
      <w:pPr>
        <w:numPr>
          <w:ilvl w:val="0"/>
          <w:numId w:val="21"/>
        </w:numPr>
        <w:jc w:val="left"/>
      </w:pPr>
      <w:r>
        <w:t>If Text A + Text B fits, send both full texts.</w:t>
      </w:r>
    </w:p>
    <w:p>
      <w:pPr>
        <w:numPr>
          <w:ilvl w:val="0"/>
          <w:numId w:val="21"/>
        </w:numPr>
        <w:jc w:val="left"/>
      </w:pPr>
      <w:r>
        <w:t>If it does not fit, split each document into fixed-size overlapping token windows. Select the first window, last window, and the highest-overlap aligned window pairs under lexical similarity until the visible budget is filled.</w:t>
      </w:r>
    </w:p>
    <w:p>
      <w:pPr>
        <w:numPr>
          <w:ilvl w:val="0"/>
          <w:numId w:val="21"/>
        </w:numPr>
        <w:jc w:val="left"/>
      </w:pPr>
      <w:r>
        <w:t>Record the included character/token offsets and a truncation flag. The judge must return UNRESOLVED when the visible evidence is insufficient rather than infer unseen content.</w:t>
      </w:r>
    </w:p>
    <w:p>
      <w:pPr>
        <w:pStyle w:val="Heading2"/>
        <w:jc w:val="left"/>
        <w:keepNext/>
      </w:pPr>
      <w:r>
        <w:t>Required judge outputs</w:t>
      </w:r>
    </w:p>
    <w:tbl>
      <w:tblPr>
        <w:tblStyle w:val="TableGrid"/>
        <w:tblW w:type="dxa" w:w="9360"/>
        <w:tblLayout w:type="fixed"/>
        <w:tblLook w:firstColumn="1" w:firstRow="1" w:lastColumn="0" w:lastRow="0" w:noHBand="0" w:noVBand="1" w:val="04A0"/>
        <w:jc w:val="left"/>
        <w:tblInd w:w="120" w:type="dxa"/>
      </w:tblPr>
      <w:tblGrid>
        <w:gridCol w:w="2200"/>
        <w:gridCol w:w="2700"/>
        <w:gridCol w:w="4460"/>
      </w:tblGrid>
      <w:tr>
        <w:trPr>
          <w:trHeight w:hRule="atLeast"/>
          <w:tblHeader w:val="true"/>
          <w:cantSplit w:val="true"/>
        </w:trPr>
        <w:tc>
          <w:tcPr>
            <w:tcW w:type="dxa" w:w="2200"/>
            <w:tcMar>
              <w:top w:w="80" w:type="dxa"/>
              <w:start w:w="120" w:type="dxa"/>
              <w:bottom w:w="80" w:type="dxa"/>
              <w:end w:w="120" w:type="dxa"/>
            </w:tcMar>
            <w:vAlign w:val="center"/>
            <w:shd w:fill="F4F6F9"/>
          </w:tcPr>
          <w:p>
            <w:pPr>
              <w:spacing w:after="0"/>
              <w:jc w:val="center"/>
            </w:pPr>
            <w:r>
              <w:rPr>
                <w:rFonts w:ascii="Calibri" w:hAnsi="Calibri" w:eastAsia="Calibri"/>
                <w:b/>
                <w:color w:val="0B2545"/>
                <w:sz w:val="18"/>
              </w:rPr>
              <w:t>Field</w:t>
            </w:r>
          </w:p>
        </w:tc>
        <w:tc>
          <w:tcPr>
            <w:tcW w:type="dxa" w:w="2700"/>
            <w:tcMar>
              <w:top w:w="80" w:type="dxa"/>
              <w:start w:w="120" w:type="dxa"/>
              <w:bottom w:w="80" w:type="dxa"/>
              <w:end w:w="120" w:type="dxa"/>
            </w:tcMar>
            <w:vAlign w:val="center"/>
            <w:shd w:fill="F4F6F9"/>
          </w:tcPr>
          <w:p>
            <w:pPr>
              <w:spacing w:after="0"/>
              <w:jc w:val="left"/>
            </w:pPr>
            <w:r>
              <w:rPr>
                <w:rFonts w:ascii="Calibri" w:hAnsi="Calibri" w:eastAsia="Calibri"/>
                <w:b/>
                <w:color w:val="0B2545"/>
                <w:sz w:val="18"/>
              </w:rPr>
              <w:t>Allowed values</w:t>
            </w:r>
          </w:p>
        </w:tc>
        <w:tc>
          <w:tcPr>
            <w:tcW w:type="dxa" w:w="4460"/>
            <w:tcMar>
              <w:top w:w="80" w:type="dxa"/>
              <w:start w:w="120" w:type="dxa"/>
              <w:bottom w:w="80" w:type="dxa"/>
              <w:end w:w="120" w:type="dxa"/>
            </w:tcMar>
            <w:vAlign w:val="center"/>
            <w:shd w:fill="F4F6F9"/>
          </w:tcPr>
          <w:p>
            <w:pPr>
              <w:spacing w:after="0"/>
              <w:jc w:val="left"/>
            </w:pPr>
            <w:r>
              <w:rPr>
                <w:rFonts w:ascii="Calibri" w:hAnsi="Calibri" w:eastAsia="Calibri"/>
                <w:b/>
                <w:color w:val="0B2545"/>
                <w:sz w:val="18"/>
              </w:rPr>
              <w:t>Operational meaning</w:t>
            </w:r>
          </w:p>
        </w:tc>
      </w:tr>
      <w:tr>
        <w:trPr>
          <w:cantSplit w:val="true"/>
          <w:trHeight w:hRule="atLeast"/>
        </w:trPr>
        <w:tc>
          <w:tcPr>
            <w:tcW w:type="dxa" w:w="220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same_duplicate_group</w:t>
            </w:r>
          </w:p>
        </w:tc>
        <w:tc>
          <w:tcPr>
            <w:tcW w:type="dxa" w:w="270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YES / NO / UNRESOLVED</w:t>
            </w:r>
          </w:p>
        </w:tc>
        <w:tc>
          <w:tcPr>
            <w:tcW w:type="dxa" w:w="446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Whether A and B belong in the same duplicate group.</w:t>
            </w:r>
          </w:p>
        </w:tc>
      </w:tr>
      <w:tr>
        <w:trPr>
          <w:cantSplit w:val="true"/>
          <w:trHeight w:hRule="atLeast"/>
        </w:trPr>
        <w:tc>
          <w:tcPr>
            <w:tcW w:type="dxa" w:w="220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a_can_replace_b</w:t>
            </w:r>
          </w:p>
        </w:tc>
        <w:tc>
          <w:tcPr>
            <w:tcW w:type="dxa" w:w="270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YES / NO / UNRESOLVED</w:t>
            </w:r>
          </w:p>
        </w:tc>
        <w:tc>
          <w:tcPr>
            <w:tcW w:type="dxa" w:w="446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Whether keeping A and removing B preserves materially relevant information.</w:t>
            </w:r>
          </w:p>
        </w:tc>
      </w:tr>
      <w:tr>
        <w:trPr>
          <w:cantSplit w:val="true"/>
          <w:trHeight w:hRule="atLeast"/>
        </w:trPr>
        <w:tc>
          <w:tcPr>
            <w:tcW w:type="dxa" w:w="220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b_can_replace_a</w:t>
            </w:r>
          </w:p>
        </w:tc>
        <w:tc>
          <w:tcPr>
            <w:tcW w:type="dxa" w:w="270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YES / NO / UNRESOLVED</w:t>
            </w:r>
          </w:p>
        </w:tc>
        <w:tc>
          <w:tcPr>
            <w:tcW w:type="dxa" w:w="446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Directional reverse of the preceding field.</w:t>
            </w:r>
          </w:p>
        </w:tc>
      </w:tr>
      <w:tr>
        <w:trPr>
          <w:cantSplit w:val="true"/>
          <w:trHeight w:hRule="atLeast"/>
        </w:trPr>
        <w:tc>
          <w:tcPr>
            <w:tcW w:type="dxa" w:w="220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relation_type</w:t>
            </w:r>
          </w:p>
        </w:tc>
        <w:tc>
          <w:tcPr>
            <w:tcW w:type="dxa" w:w="270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EXACT / CANONICAL_EXACT / NEAR_SURFACE / CONTAINMENT / VERSION_RELATED / RELATED_NON_DUPLICATE / UNRELATED / UNRESOLVED</w:t>
            </w:r>
          </w:p>
        </w:tc>
        <w:tc>
          <w:tcPr>
            <w:tcW w:type="dxa" w:w="446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Primary relation category.</w:t>
            </w:r>
          </w:p>
        </w:tc>
      </w:tr>
      <w:tr>
        <w:trPr>
          <w:cantSplit w:val="true"/>
          <w:trHeight w:hRule="atLeast"/>
        </w:trPr>
        <w:tc>
          <w:tcPr>
            <w:tcW w:type="dxa" w:w="220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material_difference</w:t>
            </w:r>
          </w:p>
        </w:tc>
        <w:tc>
          <w:tcPr>
            <w:tcW w:type="dxa" w:w="270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NONE / MINOR / MAJOR / UNRESOLVED</w:t>
            </w:r>
          </w:p>
        </w:tc>
        <w:tc>
          <w:tcPr>
            <w:tcW w:type="dxa" w:w="446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Importance of the observed differences.</w:t>
            </w:r>
          </w:p>
        </w:tc>
      </w:tr>
      <w:tr>
        <w:trPr>
          <w:cantSplit w:val="true"/>
          <w:trHeight w:hRule="atLeast"/>
        </w:trPr>
        <w:tc>
          <w:tcPr>
            <w:tcW w:type="dxa" w:w="220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fuzzy_scope</w:t>
            </w:r>
          </w:p>
        </w:tc>
        <w:tc>
          <w:tcPr>
            <w:tcW w:type="dxa" w:w="270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IN_SCOPE / BORDERLINE / OUT_OF_SCOPE / UNRESOLVED</w:t>
            </w:r>
          </w:p>
        </w:tc>
        <w:tc>
          <w:tcPr>
            <w:tcW w:type="dxa" w:w="446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Whether a surface-similarity fuzzy method is reasonably expected to catch the pair.</w:t>
            </w:r>
          </w:p>
        </w:tc>
      </w:tr>
      <w:tr>
        <w:trPr>
          <w:cantSplit w:val="true"/>
          <w:trHeight w:hRule="atLeast"/>
        </w:trPr>
        <w:tc>
          <w:tcPr>
            <w:tcW w:type="dxa" w:w="220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confidence</w:t>
            </w:r>
          </w:p>
        </w:tc>
        <w:tc>
          <w:tcPr>
            <w:tcW w:type="dxa" w:w="270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0.0–1.0</w:t>
            </w:r>
          </w:p>
        </w:tc>
        <w:tc>
          <w:tcPr>
            <w:tcW w:type="dxa" w:w="446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Judge confidence; not a sampling weight.</w:t>
            </w:r>
          </w:p>
        </w:tc>
      </w:tr>
      <w:tr>
        <w:trPr>
          <w:cantSplit w:val="true"/>
          <w:trHeight w:hRule="atLeast"/>
        </w:trPr>
        <w:tc>
          <w:tcPr>
            <w:tcW w:type="dxa" w:w="220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reason_codes</w:t>
            </w:r>
          </w:p>
        </w:tc>
        <w:tc>
          <w:tcPr>
            <w:tcW w:type="dxa" w:w="270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Controlled list</w:t>
            </w:r>
          </w:p>
        </w:tc>
        <w:tc>
          <w:tcPr>
            <w:tcW w:type="dxa" w:w="446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Examples: NUMBER_CHANGE, VERSION_CHANGE, URL_CHANGE, BOILERPLATE, PARSER_NOISE, TOPIC_ONLY.</w:t>
            </w:r>
          </w:p>
        </w:tc>
      </w:tr>
      <w:tr>
        <w:trPr>
          <w:cantSplit w:val="true"/>
          <w:trHeight w:hRule="atLeast"/>
        </w:trPr>
        <w:tc>
          <w:tcPr>
            <w:tcW w:type="dxa" w:w="220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evidence</w:t>
            </w:r>
          </w:p>
        </w:tc>
        <w:tc>
          <w:tcPr>
            <w:tcW w:type="dxa" w:w="270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Short quoted spans or offsets</w:t>
            </w:r>
          </w:p>
        </w:tc>
        <w:tc>
          <w:tcPr>
            <w:tcW w:type="dxa" w:w="446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Minimal support for audit; no long free-form chain of thought.</w:t>
            </w:r>
          </w:p>
        </w:tc>
      </w:tr>
    </w:tbl>
    <w:p>
      <w:pPr>
        <w:spacing w:after="0"/>
      </w:pPr>
    </w:p>
    <w:p>
      <w:pPr>
        <w:pStyle w:val="Heading2"/>
        <w:jc w:val="left"/>
        <w:keepNext/>
      </w:pPr>
      <w:r>
        <w:t>Execution and validation</w:t>
      </w:r>
    </w:p>
    <w:p>
      <w:pPr>
        <w:numPr>
          <w:ilvl w:val="0"/>
          <w:numId w:val="22"/>
        </w:numPr>
        <w:jc w:val="left"/>
      </w:pPr>
      <w:r>
        <w:t>Freeze judge_model, model revision, prompt_version, schema_version, temperature, max tokens, retry policy, and judge_order_seed.</w:t>
      </w:r>
    </w:p>
    <w:p>
      <w:pPr>
        <w:numPr>
          <w:ilvl w:val="0"/>
          <w:numId w:val="22"/>
        </w:numPr>
        <w:jc w:val="left"/>
      </w:pPr>
      <w:r>
        <w:t>Require strict JSON schema validation. On invalid JSON or missing required fields, retry the same payload up to two times. After two failed retries, store a judge_error result and route the pair to the unresolved queue.</w:t>
      </w:r>
    </w:p>
    <w:p>
      <w:pPr>
        <w:numPr>
          <w:ilvl w:val="0"/>
          <w:numId w:val="22"/>
        </w:numPr>
        <w:jc w:val="left"/>
      </w:pPr>
      <w:r>
        <w:t>Enforce consistency checks. Examples: relation_type = UNRELATED cannot coexist with same_duplicate_group = YES; material_difference = MAJOR should not silently produce bidirectional replaceability = YES without a flagged rationale.</w:t>
      </w:r>
    </w:p>
    <w:p>
      <w:pPr>
        <w:numPr>
          <w:ilvl w:val="0"/>
          <w:numId w:val="22"/>
        </w:numPr>
        <w:jc w:val="left"/>
      </w:pPr>
      <w:r>
        <w:t>Do not discard low-confidence results. Preserve them and apply reporting thresholds only after the full judge output is stored.</w:t>
      </w:r>
    </w:p>
    <w:p>
      <w:pPr>
        <w:numPr>
          <w:ilvl w:val="0"/>
          <w:numId w:val="22"/>
        </w:numPr>
        <w:jc w:val="left"/>
      </w:pPr>
      <w:r>
        <w:t>Create evaluation-owned judge_results.jsonl, judge_errors.jsonl, judge_config.json, and a completion summary with requested, valid, unresolved, retried, and failed counts. Do not adopt any upstream partial judge cache as the authoritative Step 6 result.</w:t>
      </w:r>
    </w:p>
    <w:p>
      <w:pPr>
        <w:pStyle w:val="Heading2"/>
        <w:jc w:val="left"/>
        <w:keepNext/>
      </w:pPr>
      <w:r>
        <w:t>Human quality-assurance sample</w:t>
      </w:r>
    </w:p>
    <w:p>
      <w:pPr>
        <w:numPr>
          <w:ilvl w:val="0"/>
          <w:numId w:val="10"/>
        </w:numPr>
        <w:jc w:val="left"/>
      </w:pPr>
      <w:r>
        <w:t>Select 200 judged pairs before reading model outputs: 50 Step 5a main, 50 minimum-diff if available (otherwise Step 5a main), 50 lexical-focused Step 5b, and 50 semantic-focused Step 5b.</w:t>
      </w:r>
    </w:p>
    <w:p>
      <w:pPr>
        <w:numPr>
          <w:ilvl w:val="0"/>
          <w:numId w:val="10"/>
        </w:numPr>
        <w:jc w:val="left"/>
      </w:pPr>
      <w:r>
        <w:t>A human reviewer labels the same required fields using a compact rubric and can mark AMBIGUOUS. The reviewer is blinded to SUT and retrieval metadata.</w:t>
      </w:r>
    </w:p>
    <w:p>
      <w:pPr>
        <w:numPr>
          <w:ilvl w:val="0"/>
          <w:numId w:val="10"/>
        </w:numPr>
        <w:jc w:val="left"/>
      </w:pPr>
      <w:r>
        <w:t>Report raw agreement and disagreements by label. Human QA is a V0 prompt sanity check, not a claim of validated ground truth. Do not fine-tune the judge during this frozen run.</w:t>
      </w:r>
    </w:p>
    <w:p>
      <w:pPr>
        <w:pStyle w:val="Heading1"/>
        <w:keepNext/>
      </w:pPr>
      <w:r>
        <w:t>Step 7 — Build a Partial Judged Constraint Graph</w:t>
      </w:r>
    </w:p>
    <w:p>
      <w:pPr>
        <w:pStyle w:val="StepMetadata"/>
        <w:keepNext/>
      </w:pPr>
      <w:r>
        <w:rPr>
          <w:b/>
        </w:rPr>
        <w:t xml:space="preserve">OWNER  </w:t>
      </w:r>
      <w:r>
        <w:t>Hongsheng</w:t>
      </w:r>
      <w:r>
        <w:t xml:space="preserve">     |     </w:t>
      </w:r>
      <w:r>
        <w:rPr>
          <w:b/>
        </w:rPr>
        <w:t xml:space="preserve">GATE  </w:t>
      </w:r>
      <w:r>
        <w:t>REQUIRED DIAGNOSTIC — not complete ground truth</w:t>
      </w:r>
    </w:p>
    <w:p>
      <w:pPr>
        <w:pStyle w:val="Heading2"/>
        <w:jc w:val="left"/>
        <w:keepNext/>
      </w:pPr>
      <w:r>
        <w:t>Goal</w:t>
      </w:r>
    </w:p>
    <w:p>
      <w:r>
        <w:t>Convert high-confidence pair judgments into an auditable graph that supports consistency checks and limited component diagnostics. Because only sampled pairs were judged, the output must be called a partial judged constraint graph, not complete true groups.</w:t>
      </w:r>
    </w:p>
    <w:p>
      <w:pPr>
        <w:pStyle w:val="Heading2"/>
        <w:jc w:val="left"/>
        <w:keepNext/>
      </w:pPr>
      <w:r>
        <w:t>Required procedure</w:t>
      </w:r>
    </w:p>
    <w:p>
      <w:pPr>
        <w:numPr>
          <w:ilvl w:val="0"/>
          <w:numId w:val="23"/>
        </w:numPr>
        <w:jc w:val="left"/>
      </w:pPr>
      <w:r>
        <w:t>Create one node for every document appearing in a judged pair.</w:t>
      </w:r>
    </w:p>
    <w:p>
      <w:pPr>
        <w:numPr>
          <w:ilvl w:val="0"/>
          <w:numId w:val="23"/>
        </w:numPr>
        <w:jc w:val="left"/>
      </w:pPr>
      <w:r>
        <w:t>Create a must-link edge for same_duplicate_group = YES when confidence &gt;= 0.80. Create a cannot-link constraint for same_duplicate_group = NO when confidence &gt;= 0.80. Leave UNRESOLVED or lower-confidence pairs uncommitted.</w:t>
      </w:r>
    </w:p>
    <w:p>
      <w:pPr>
        <w:numPr>
          <w:ilvl w:val="0"/>
          <w:numId w:val="23"/>
        </w:numPr>
        <w:jc w:val="left"/>
      </w:pPr>
      <w:r>
        <w:t>Build connected components from must-link edges using union-find.</w:t>
      </w:r>
    </w:p>
    <w:p>
      <w:pPr>
        <w:numPr>
          <w:ilvl w:val="0"/>
          <w:numId w:val="23"/>
        </w:numPr>
        <w:jc w:val="left"/>
      </w:pPr>
      <w:r>
        <w:t>Before every union, check whether the proposed merged components contain any cannot-link pair. If so, do not silently merge; create a conflict record containing the contributing edges and route it to human QA.</w:t>
      </w:r>
    </w:p>
    <w:p>
      <w:pPr>
        <w:numPr>
          <w:ilvl w:val="0"/>
          <w:numId w:val="23"/>
        </w:numPr>
        <w:jc w:val="left"/>
      </w:pPr>
      <w:r>
        <w:t>Do not infer unobserved cannot-links or claim that documents outside the judged graph are true singletons.</w:t>
      </w:r>
    </w:p>
    <w:p>
      <w:pPr>
        <w:pStyle w:val="Heading2"/>
        <w:jc w:val="left"/>
        <w:keepNext/>
      </w:pPr>
      <w:r>
        <w:t>Outputs and done criteria</w:t>
      </w:r>
    </w:p>
    <w:p>
      <w:pPr>
        <w:numPr>
          <w:ilvl w:val="0"/>
          <w:numId w:val="10"/>
        </w:numPr>
        <w:jc w:val="left"/>
      </w:pPr>
      <w:r>
        <w:t>judged_must_links.parquet, judged_cannot_links.parquet, partial_reference_components.parquet, and constraint_conflicts.parquet.</w:t>
      </w:r>
    </w:p>
    <w:p>
      <w:pPr>
        <w:numPr>
          <w:ilvl w:val="0"/>
          <w:numId w:val="10"/>
        </w:numPr>
        <w:jc w:val="left"/>
      </w:pPr>
      <w:r>
        <w:t>Every committed edge traces to one judge_result_id and one payload hash.</w:t>
      </w:r>
    </w:p>
    <w:p>
      <w:pPr>
        <w:numPr>
          <w:ilvl w:val="0"/>
          <w:numId w:val="10"/>
        </w:numPr>
        <w:jc w:val="left"/>
      </w:pPr>
      <w:r>
        <w:t>The report states the number of nodes, committed edges, unresolved edges, components, and conflicts. No complete-cluster metric uses these partial components as if every corpus pair had been labeled.</w:t>
      </w:r>
    </w:p>
    <w:p>
      <w:pPr>
        <w:pStyle w:val="Heading1"/>
        <w:keepNext/>
      </w:pPr>
      <w:r>
        <w:t>Step 8 — Compare SUT Predictions with Judged Labels</w:t>
      </w:r>
    </w:p>
    <w:p>
      <w:pPr>
        <w:pStyle w:val="StepMetadata"/>
        <w:keepNext/>
      </w:pPr>
      <w:r>
        <w:rPr>
          <w:b/>
        </w:rPr>
        <w:t xml:space="preserve">OWNER  </w:t>
      </w:r>
      <w:r>
        <w:t>Hongsheng</w:t>
      </w:r>
      <w:r>
        <w:t xml:space="preserve">     |     </w:t>
      </w:r>
      <w:r>
        <w:rPr>
          <w:b/>
        </w:rPr>
        <w:t xml:space="preserve">GATE  </w:t>
      </w:r>
      <w:r>
        <w:t>BLOCKING — creates track-specific outcomes</w:t>
      </w:r>
    </w:p>
    <w:p>
      <w:pPr>
        <w:pStyle w:val="Heading2"/>
        <w:jc w:val="left"/>
        <w:keepNext/>
      </w:pPr>
      <w:r>
        <w:t>Required join</w:t>
      </w:r>
    </w:p>
    <w:p>
      <w:pPr>
        <w:numPr>
          <w:ilvl w:val="0"/>
          <w:numId w:val="24"/>
        </w:numPr>
        <w:jc w:val="left"/>
      </w:pPr>
      <w:r>
        <w:t>Join judge results to candidate_pairs.parquet by canonical_pair_id and judge_payload_hash, requiring canonical_pair_id_version to match the frozen evaluation manifest.</w:t>
      </w:r>
    </w:p>
    <w:p>
      <w:pPr>
        <w:numPr>
          <w:ilvl w:val="0"/>
          <w:numId w:val="24"/>
        </w:numPr>
        <w:jc w:val="left"/>
      </w:pPr>
      <w:r>
        <w:t>Join pair_provenance.parquet and document_outcomes.parquet only after judging is complete. Preserve the one-to-many provenance relation; do not expand it and then accidentally count one judged pair multiple times in pair-level metrics.</w:t>
      </w:r>
    </w:p>
    <w:p>
      <w:pPr>
        <w:numPr>
          <w:ilvl w:val="0"/>
          <w:numId w:val="24"/>
        </w:numPr>
        <w:jc w:val="left"/>
      </w:pPr>
      <w:r>
        <w:t>Recover Step 5a direction using judge presentation order so the primary removal label is whether the actual keeper can replace the actual removed document.</w:t>
      </w:r>
    </w:p>
    <w:p>
      <w:pPr>
        <w:numPr>
          <w:ilvl w:val="0"/>
          <w:numId w:val="24"/>
        </w:numPr>
        <w:jc w:val="left"/>
      </w:pPr>
      <w:r>
        <w:t>Compute predicted_same_group using predicted_cluster_key equality, never raw -1 equality.</w:t>
      </w:r>
    </w:p>
    <w:p>
      <w:pPr>
        <w:pStyle w:val="Heading2"/>
        <w:jc w:val="left"/>
        <w:keepNext/>
      </w:pPr>
      <w:r>
        <w:t>Track-specific outcome rules</w:t>
      </w:r>
    </w:p>
    <w:tbl>
      <w:tblPr>
        <w:tblStyle w:val="TableGrid"/>
        <w:tblW w:type="dxa" w:w="9360"/>
        <w:tblLayout w:type="fixed"/>
        <w:tblLook w:firstColumn="1" w:firstRow="1" w:lastColumn="0" w:lastRow="0" w:noHBand="0" w:noVBand="1" w:val="04A0"/>
        <w:jc w:val="left"/>
        <w:tblInd w:w="120" w:type="dxa"/>
      </w:tblPr>
      <w:tblGrid>
        <w:gridCol w:w="1500"/>
        <w:gridCol w:w="2800"/>
        <w:gridCol w:w="2100"/>
        <w:gridCol w:w="2960"/>
      </w:tblGrid>
      <w:tr>
        <w:trPr>
          <w:trHeight w:hRule="atLeast"/>
          <w:tblHeader w:val="true"/>
          <w:cantSplit w:val="true"/>
        </w:trPr>
        <w:tc>
          <w:tcPr>
            <w:tcW w:type="dxa" w:w="1500"/>
            <w:tcMar>
              <w:top w:w="80" w:type="dxa"/>
              <w:start w:w="120" w:type="dxa"/>
              <w:bottom w:w="80" w:type="dxa"/>
              <w:end w:w="120" w:type="dxa"/>
            </w:tcMar>
            <w:vAlign w:val="center"/>
            <w:shd w:fill="F4F6F9"/>
          </w:tcPr>
          <w:p>
            <w:pPr>
              <w:spacing w:after="0"/>
              <w:jc w:val="center"/>
            </w:pPr>
            <w:r>
              <w:rPr>
                <w:rFonts w:ascii="Calibri" w:hAnsi="Calibri" w:eastAsia="Calibri"/>
                <w:b/>
                <w:color w:val="0B2545"/>
                <w:sz w:val="18"/>
              </w:rPr>
              <w:t>Track</w:t>
            </w:r>
          </w:p>
        </w:tc>
        <w:tc>
          <w:tcPr>
            <w:tcW w:type="dxa" w:w="2800"/>
            <w:tcMar>
              <w:top w:w="80" w:type="dxa"/>
              <w:start w:w="120" w:type="dxa"/>
              <w:bottom w:w="80" w:type="dxa"/>
              <w:end w:w="120" w:type="dxa"/>
            </w:tcMar>
            <w:vAlign w:val="center"/>
            <w:shd w:fill="F4F6F9"/>
          </w:tcPr>
          <w:p>
            <w:pPr>
              <w:spacing w:after="0"/>
              <w:jc w:val="left"/>
            </w:pPr>
            <w:r>
              <w:rPr>
                <w:rFonts w:ascii="Calibri" w:hAnsi="Calibri" w:eastAsia="Calibri"/>
                <w:b/>
                <w:color w:val="0B2545"/>
                <w:sz w:val="18"/>
              </w:rPr>
              <w:t>SUT assertion</w:t>
            </w:r>
          </w:p>
        </w:tc>
        <w:tc>
          <w:tcPr>
            <w:tcW w:type="dxa" w:w="2100"/>
            <w:tcMar>
              <w:top w:w="80" w:type="dxa"/>
              <w:start w:w="120" w:type="dxa"/>
              <w:bottom w:w="80" w:type="dxa"/>
              <w:end w:w="120" w:type="dxa"/>
            </w:tcMar>
            <w:vAlign w:val="center"/>
            <w:shd w:fill="F4F6F9"/>
          </w:tcPr>
          <w:p>
            <w:pPr>
              <w:spacing w:after="0"/>
              <w:jc w:val="left"/>
            </w:pPr>
            <w:r>
              <w:rPr>
                <w:rFonts w:ascii="Calibri" w:hAnsi="Calibri" w:eastAsia="Calibri"/>
                <w:b/>
                <w:color w:val="0B2545"/>
                <w:sz w:val="18"/>
              </w:rPr>
              <w:t>Judge field</w:t>
            </w:r>
          </w:p>
        </w:tc>
        <w:tc>
          <w:tcPr>
            <w:tcW w:type="dxa" w:w="2960"/>
            <w:tcMar>
              <w:top w:w="80" w:type="dxa"/>
              <w:start w:w="120" w:type="dxa"/>
              <w:bottom w:w="80" w:type="dxa"/>
              <w:end w:w="120" w:type="dxa"/>
            </w:tcMar>
            <w:vAlign w:val="center"/>
            <w:shd w:fill="F4F6F9"/>
          </w:tcPr>
          <w:p>
            <w:pPr>
              <w:spacing w:after="0"/>
              <w:jc w:val="left"/>
            </w:pPr>
            <w:r>
              <w:rPr>
                <w:rFonts w:ascii="Calibri" w:hAnsi="Calibri" w:eastAsia="Calibri"/>
                <w:b/>
                <w:color w:val="0B2545"/>
                <w:sz w:val="18"/>
              </w:rPr>
              <w:t>Outcome</w:t>
            </w:r>
          </w:p>
        </w:tc>
      </w:tr>
      <w:tr>
        <w:trPr>
          <w:cantSplit w:val="true"/>
          <w:trHeight w:hRule="atLeast"/>
        </w:trPr>
        <w:tc>
          <w:tcPr>
            <w:tcW w:type="dxa" w:w="150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5a main</w:t>
            </w:r>
          </w:p>
        </w:tc>
        <w:tc>
          <w:tcPr>
            <w:tcW w:type="dxa" w:w="280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Keeper safely represents removed doc</w:t>
            </w:r>
          </w:p>
        </w:tc>
        <w:tc>
          <w:tcPr>
            <w:tcW w:type="dxa" w:w="210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keeper_can_replace_removed</w:t>
            </w:r>
          </w:p>
        </w:tc>
        <w:tc>
          <w:tcPr>
            <w:tcW w:type="dxa" w:w="296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YES = safe removal; NO = wrong removal; UNRESOLVED = excluded from rate.</w:t>
            </w:r>
          </w:p>
        </w:tc>
      </w:tr>
      <w:tr>
        <w:trPr>
          <w:cantSplit w:val="true"/>
          <w:trHeight w:hRule="atLeast"/>
        </w:trPr>
        <w:tc>
          <w:tcPr>
            <w:tcW w:type="dxa" w:w="150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5a minimum diff</w:t>
            </w:r>
          </w:p>
        </w:tc>
        <w:tc>
          <w:tcPr>
            <w:tcW w:type="dxa" w:w="280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Same directional assertion</w:t>
            </w:r>
          </w:p>
        </w:tc>
        <w:tc>
          <w:tcPr>
            <w:tcW w:type="dxa" w:w="210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keeper_can_replace_removed</w:t>
            </w:r>
          </w:p>
        </w:tc>
        <w:tc>
          <w:tcPr>
            <w:tcW w:type="dxa" w:w="296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Report as a separate challenge pass/fail slice.</w:t>
            </w:r>
          </w:p>
        </w:tc>
      </w:tr>
      <w:tr>
        <w:trPr>
          <w:cantSplit w:val="true"/>
          <w:trHeight w:hRule="atLeast"/>
        </w:trPr>
        <w:tc>
          <w:tcPr>
            <w:tcW w:type="dxa" w:w="150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5b</w:t>
            </w:r>
          </w:p>
        </w:tc>
        <w:tc>
          <w:tcPr>
            <w:tcW w:type="dxa" w:w="280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Documents are in different predicted clusters</w:t>
            </w:r>
          </w:p>
        </w:tc>
        <w:tc>
          <w:tcPr>
            <w:tcW w:type="dxa" w:w="210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same_duplicate_group</w:t>
            </w:r>
          </w:p>
        </w:tc>
        <w:tc>
          <w:tcPr>
            <w:tcW w:type="dxa" w:w="296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YES = discovered candidate FN; NO = TN/hard negative; UNRESOLVED = excluded from yield.</w:t>
            </w:r>
          </w:p>
        </w:tc>
      </w:tr>
      <w:tr>
        <w:trPr>
          <w:cantSplit w:val="true"/>
          <w:trHeight w:hRule="atLeast"/>
        </w:trPr>
        <w:tc>
          <w:tcPr>
            <w:tcW w:type="dxa" w:w="150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Pair diagnostic</w:t>
            </w:r>
          </w:p>
        </w:tc>
        <w:tc>
          <w:tcPr>
            <w:tcW w:type="dxa" w:w="280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Same vs. different predicted cluster</w:t>
            </w:r>
          </w:p>
        </w:tc>
        <w:tc>
          <w:tcPr>
            <w:tcW w:type="dxa" w:w="210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same_duplicate_group</w:t>
            </w:r>
          </w:p>
        </w:tc>
        <w:tc>
          <w:tcPr>
            <w:tcW w:type="dxa" w:w="296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TP/FP/FN/TN may be stored by sampling frame, but raw frames are not pooled.</w:t>
            </w:r>
          </w:p>
        </w:tc>
      </w:tr>
    </w:tbl>
    <w:p>
      <w:pPr>
        <w:spacing w:after="0"/>
      </w:pPr>
    </w:p>
    <w:p>
      <w:pPr>
        <w:pStyle w:val="Heading2"/>
        <w:jc w:val="left"/>
        <w:keepNext/>
      </w:pPr>
      <w:r>
        <w:t>Output and validation</w:t>
      </w:r>
    </w:p>
    <w:p>
      <w:pPr>
        <w:numPr>
          <w:ilvl w:val="0"/>
          <w:numId w:val="10"/>
        </w:numPr>
        <w:jc w:val="left"/>
      </w:pPr>
      <w:r>
        <w:t>pair_comparisons.parquet with one row per canonical pair plus separate one-to-many provenance rows.</w:t>
      </w:r>
    </w:p>
    <w:p>
      <w:pPr>
        <w:numPr>
          <w:ilvl w:val="0"/>
          <w:numId w:val="10"/>
        </w:numPr>
        <w:jc w:val="left"/>
      </w:pPr>
      <w:r>
        <w:t>No judge result is joined across a mismatched payload hash, prompt version, model version, or schema version.</w:t>
      </w:r>
    </w:p>
    <w:p>
      <w:pPr>
        <w:numPr>
          <w:ilvl w:val="0"/>
          <w:numId w:val="10"/>
        </w:numPr>
        <w:jc w:val="left"/>
      </w:pPr>
      <w:r>
        <w:t>All denominators exclude judge_error and UNRESOLVED, while those counts remain visible in the report.</w:t>
      </w:r>
    </w:p>
    <w:p>
      <w:pPr>
        <w:pStyle w:val="Heading1"/>
        <w:keepNext/>
      </w:pPr>
      <w:r>
        <w:t>Step 9 — Calculate V0 Metrics and Diagnostics</w:t>
      </w:r>
    </w:p>
    <w:p>
      <w:pPr>
        <w:pStyle w:val="StepMetadata"/>
        <w:keepNext/>
      </w:pPr>
      <w:r>
        <w:rPr>
          <w:b/>
        </w:rPr>
        <w:t xml:space="preserve">OWNER  </w:t>
      </w:r>
      <w:r>
        <w:t>Hongsheng</w:t>
      </w:r>
      <w:r>
        <w:t xml:space="preserve">     |     </w:t>
      </w:r>
      <w:r>
        <w:rPr>
          <w:b/>
        </w:rPr>
        <w:t xml:space="preserve">GATE  </w:t>
      </w:r>
      <w:r>
        <w:t>REQUIRED — metrics must match their sampling frame</w:t>
      </w:r>
    </w:p>
    <w:p>
      <w:pPr>
        <w:pStyle w:val="Heading2"/>
        <w:jc w:val="left"/>
        <w:keepNext/>
      </w:pPr>
      <w:r>
        <w:t>Primary V0 metrics</w:t>
      </w:r>
    </w:p>
    <w:tbl>
      <w:tblPr>
        <w:tblStyle w:val="TableGrid"/>
        <w:tblW w:type="dxa" w:w="9360"/>
        <w:tblLayout w:type="fixed"/>
        <w:tblLook w:firstColumn="1" w:firstRow="1" w:lastColumn="0" w:lastRow="0" w:noHBand="0" w:noVBand="1" w:val="04A0"/>
        <w:jc w:val="left"/>
        <w:tblInd w:w="120" w:type="dxa"/>
      </w:tblPr>
      <w:tblGrid>
        <w:gridCol w:w="2300"/>
        <w:gridCol w:w="3200"/>
        <w:gridCol w:w="3860"/>
      </w:tblGrid>
      <w:tr>
        <w:trPr>
          <w:trHeight w:hRule="atLeast"/>
          <w:tblHeader w:val="true"/>
          <w:cantSplit w:val="true"/>
        </w:trPr>
        <w:tc>
          <w:tcPr>
            <w:tcW w:type="dxa" w:w="2300"/>
            <w:tcMar>
              <w:top w:w="80" w:type="dxa"/>
              <w:start w:w="120" w:type="dxa"/>
              <w:bottom w:w="80" w:type="dxa"/>
              <w:end w:w="120" w:type="dxa"/>
            </w:tcMar>
            <w:vAlign w:val="center"/>
            <w:shd w:fill="F4F6F9"/>
          </w:tcPr>
          <w:p>
            <w:pPr>
              <w:spacing w:after="0"/>
              <w:jc w:val="center"/>
            </w:pPr>
            <w:r>
              <w:rPr>
                <w:rFonts w:ascii="Calibri" w:hAnsi="Calibri" w:eastAsia="Calibri"/>
                <w:b/>
                <w:color w:val="0B2545"/>
                <w:sz w:val="18"/>
              </w:rPr>
              <w:t>Metric</w:t>
            </w:r>
          </w:p>
        </w:tc>
        <w:tc>
          <w:tcPr>
            <w:tcW w:type="dxa" w:w="3200"/>
            <w:tcMar>
              <w:top w:w="80" w:type="dxa"/>
              <w:start w:w="120" w:type="dxa"/>
              <w:bottom w:w="80" w:type="dxa"/>
              <w:end w:w="120" w:type="dxa"/>
            </w:tcMar>
            <w:vAlign w:val="center"/>
            <w:shd w:fill="F4F6F9"/>
          </w:tcPr>
          <w:p>
            <w:pPr>
              <w:spacing w:after="0"/>
              <w:jc w:val="left"/>
            </w:pPr>
            <w:r>
              <w:rPr>
                <w:rFonts w:ascii="Calibri" w:hAnsi="Calibri" w:eastAsia="Calibri"/>
                <w:b/>
                <w:color w:val="0B2545"/>
                <w:sz w:val="18"/>
              </w:rPr>
              <w:t>Definition</w:t>
            </w:r>
          </w:p>
        </w:tc>
        <w:tc>
          <w:tcPr>
            <w:tcW w:type="dxa" w:w="3860"/>
            <w:tcMar>
              <w:top w:w="80" w:type="dxa"/>
              <w:start w:w="120" w:type="dxa"/>
              <w:bottom w:w="80" w:type="dxa"/>
              <w:end w:w="120" w:type="dxa"/>
            </w:tcMar>
            <w:vAlign w:val="center"/>
            <w:shd w:fill="F4F6F9"/>
          </w:tcPr>
          <w:p>
            <w:pPr>
              <w:spacing w:after="0"/>
              <w:jc w:val="left"/>
            </w:pPr>
            <w:r>
              <w:rPr>
                <w:rFonts w:ascii="Calibri" w:hAnsi="Calibri" w:eastAsia="Calibri"/>
                <w:b/>
                <w:color w:val="0B2545"/>
                <w:sz w:val="18"/>
              </w:rPr>
              <w:t>Interpretation / limitation</w:t>
            </w:r>
          </w:p>
        </w:tc>
      </w:tr>
      <w:tr>
        <w:trPr>
          <w:cantSplit w:val="true"/>
          <w:trHeight w:hRule="atLeast"/>
        </w:trPr>
        <w:tc>
          <w:tcPr>
            <w:tcW w:type="dxa" w:w="230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Judge completion rate</w:t>
            </w:r>
          </w:p>
        </w:tc>
        <w:tc>
          <w:tcPr>
            <w:tcW w:type="dxa" w:w="320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schema-valid results / unique requested pairs</w:t>
            </w:r>
          </w:p>
        </w:tc>
        <w:tc>
          <w:tcPr>
            <w:tcW w:type="dxa" w:w="386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Operational reliability of Step 6.</w:t>
            </w:r>
          </w:p>
        </w:tc>
      </w:tr>
      <w:tr>
        <w:trPr>
          <w:cantSplit w:val="true"/>
          <w:trHeight w:hRule="atLeast"/>
        </w:trPr>
        <w:tc>
          <w:tcPr>
            <w:tcW w:type="dxa" w:w="230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Judge resolution rate</w:t>
            </w:r>
          </w:p>
        </w:tc>
        <w:tc>
          <w:tcPr>
            <w:tcW w:type="dxa" w:w="320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resolved YES or NO / schema-valid results</w:t>
            </w:r>
          </w:p>
        </w:tc>
        <w:tc>
          <w:tcPr>
            <w:tcW w:type="dxa" w:w="386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Share usable for binary analysis.</w:t>
            </w:r>
          </w:p>
        </w:tc>
      </w:tr>
      <w:tr>
        <w:trPr>
          <w:cantSplit w:val="true"/>
          <w:trHeight w:hRule="atLeast"/>
        </w:trPr>
        <w:tc>
          <w:tcPr>
            <w:tcW w:type="dxa" w:w="230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Removal precision</w:t>
            </w:r>
          </w:p>
        </w:tc>
        <w:tc>
          <w:tcPr>
            <w:tcW w:type="dxa" w:w="320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safe Step 5a main removals / resolved Step 5a main removals</w:t>
            </w:r>
          </w:p>
        </w:tc>
        <w:tc>
          <w:tcPr>
            <w:tcW w:type="dxa" w:w="386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Estimate for the uniform removal-decision frame; report a Wilson 95% CI.</w:t>
            </w:r>
          </w:p>
        </w:tc>
      </w:tr>
      <w:tr>
        <w:trPr>
          <w:cantSplit w:val="true"/>
          <w:trHeight w:hRule="atLeast"/>
        </w:trPr>
        <w:tc>
          <w:tcPr>
            <w:tcW w:type="dxa" w:w="230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Wrong-removal rate</w:t>
            </w:r>
          </w:p>
        </w:tc>
        <w:tc>
          <w:tcPr>
            <w:tcW w:type="dxa" w:w="320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1 − removal precision</w:t>
            </w:r>
          </w:p>
        </w:tc>
        <w:tc>
          <w:tcPr>
            <w:tcW w:type="dxa" w:w="386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Primary safety error rate for actual removal actions.</w:t>
            </w:r>
          </w:p>
        </w:tc>
      </w:tr>
      <w:tr>
        <w:trPr>
          <w:cantSplit w:val="true"/>
          <w:trHeight w:hRule="atLeast"/>
        </w:trPr>
        <w:tc>
          <w:tcPr>
            <w:tcW w:type="dxa" w:w="230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Minimum-diff safety pass rate</w:t>
            </w:r>
          </w:p>
        </w:tc>
        <w:tc>
          <w:tcPr>
            <w:tcW w:type="dxa" w:w="320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safe minimum-diff removals / resolved minimum-diff removals</w:t>
            </w:r>
          </w:p>
        </w:tc>
        <w:tc>
          <w:tcPr>
            <w:tcW w:type="dxa" w:w="386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Challenge-slice result; not corpus prevalence or main precision.</w:t>
            </w:r>
          </w:p>
        </w:tc>
      </w:tr>
      <w:tr>
        <w:trPr>
          <w:cantSplit w:val="true"/>
          <w:trHeight w:hRule="atLeast"/>
        </w:trPr>
        <w:tc>
          <w:tcPr>
            <w:tcW w:type="dxa" w:w="230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Step 5b positive yield</w:t>
            </w:r>
          </w:p>
        </w:tc>
        <w:tc>
          <w:tcPr>
            <w:tcW w:type="dxa" w:w="320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judged duplicate YES / resolved selected Step 5b pairs</w:t>
            </w:r>
          </w:p>
        </w:tc>
        <w:tc>
          <w:tcPr>
            <w:tcW w:type="dxa" w:w="386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Missed-duplicate discovery yield in the sampled candidate pool; not corpus recall.</w:t>
            </w:r>
          </w:p>
        </w:tc>
      </w:tr>
      <w:tr>
        <w:trPr>
          <w:cantSplit w:val="true"/>
          <w:trHeight w:hRule="atLeast"/>
        </w:trPr>
        <w:tc>
          <w:tcPr>
            <w:tcW w:type="dxa" w:w="230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Retriever overlap</w:t>
            </w:r>
          </w:p>
        </w:tc>
        <w:tc>
          <w:tcPr>
            <w:tcW w:type="dxa" w:w="320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lexical only / semantic only / both candidate and selected counts</w:t>
            </w:r>
          </w:p>
        </w:tc>
        <w:tc>
          <w:tcPr>
            <w:tcW w:type="dxa" w:w="386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Shows complementarity and pipeline coverage.</w:t>
            </w:r>
          </w:p>
        </w:tc>
      </w:tr>
      <w:tr>
        <w:trPr>
          <w:cantSplit w:val="true"/>
          <w:trHeight w:hRule="atLeast"/>
        </w:trPr>
        <w:tc>
          <w:tcPr>
            <w:tcW w:type="dxa" w:w="230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Unique positive contribution</w:t>
            </w:r>
          </w:p>
        </w:tc>
        <w:tc>
          <w:tcPr>
            <w:tcW w:type="dxa" w:w="320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YES pairs found only by each channel</w:t>
            </w:r>
          </w:p>
        </w:tc>
        <w:tc>
          <w:tcPr>
            <w:tcW w:type="dxa" w:w="386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Guides which additional retrievers may be worth adding later.</w:t>
            </w:r>
          </w:p>
        </w:tc>
      </w:tr>
      <w:tr>
        <w:trPr>
          <w:cantSplit w:val="true"/>
          <w:trHeight w:hRule="atLeast"/>
        </w:trPr>
        <w:tc>
          <w:tcPr>
            <w:tcW w:type="dxa" w:w="230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Human–judge agreement</w:t>
            </w:r>
          </w:p>
        </w:tc>
        <w:tc>
          <w:tcPr>
            <w:tcW w:type="dxa" w:w="320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exact agreement and disagreement counts by field</w:t>
            </w:r>
          </w:p>
        </w:tc>
        <w:tc>
          <w:tcPr>
            <w:tcW w:type="dxa" w:w="386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Prompt sanity check on the 200-pair QA sample.</w:t>
            </w:r>
          </w:p>
        </w:tc>
      </w:tr>
    </w:tbl>
    <w:p>
      <w:pPr>
        <w:spacing w:after="0"/>
      </w:pPr>
    </w:p>
    <w:p>
      <w:pPr>
        <w:pStyle w:val="Heading2"/>
        <w:jc w:val="left"/>
        <w:keepNext/>
      </w:pPr>
      <w:r>
        <w:t>Required slices</w:t>
      </w:r>
    </w:p>
    <w:p>
      <w:pPr>
        <w:numPr>
          <w:ilvl w:val="0"/>
          <w:numId w:val="10"/>
        </w:numPr>
        <w:jc w:val="left"/>
      </w:pPr>
      <w:r>
        <w:t>Step 5a main: predicted group-size bucket, language, length bucket, and keeper/removed length ratio.</w:t>
      </w:r>
    </w:p>
    <w:p>
      <w:pPr>
        <w:numPr>
          <w:ilvl w:val="0"/>
          <w:numId w:val="10"/>
        </w:numPr>
        <w:jc w:val="left"/>
      </w:pPr>
      <w:r>
        <w:t>Minimum-diff: changed-span category and material-difference label.</w:t>
      </w:r>
    </w:p>
    <w:p>
      <w:pPr>
        <w:numPr>
          <w:ilvl w:val="0"/>
          <w:numId w:val="10"/>
        </w:numPr>
        <w:jc w:val="left"/>
      </w:pPr>
      <w:r>
        <w:t>Step 5b: lexical_only, semantic_only, both, semantic-high/lexical-low, language, length bucket, same hostname, same canonical URL, and crawl-time-delta bucket when metadata exists.</w:t>
      </w:r>
    </w:p>
    <w:p>
      <w:pPr>
        <w:numPr>
          <w:ilvl w:val="0"/>
          <w:numId w:val="10"/>
        </w:numPr>
        <w:jc w:val="left"/>
      </w:pPr>
      <w:r>
        <w:t>Judge operations: full-text vs. truncated payload, retry count, model error type, confidence bucket, and relation type.</w:t>
      </w:r>
    </w:p>
    <w:p>
      <w:pPr>
        <w:pStyle w:val="Heading2"/>
        <w:jc w:val="left"/>
        <w:keepNext/>
      </w:pPr>
      <w:r>
        <w:t>Metrics V0 must not claim</w:t>
      </w:r>
    </w:p>
    <w:p>
      <w:pPr>
        <w:numPr>
          <w:ilvl w:val="0"/>
          <w:numId w:val="10"/>
        </w:numPr>
        <w:jc w:val="left"/>
      </w:pPr>
      <w:r>
        <w:t>Do not report unqualified corpus recall. Every V0 Step 5b candidate source has shared blind spots and zero inclusion probability for unseen pairs.</w:t>
      </w:r>
    </w:p>
    <w:p>
      <w:pPr>
        <w:numPr>
          <w:ilvl w:val="0"/>
          <w:numId w:val="10"/>
        </w:numPr>
        <w:jc w:val="left"/>
      </w:pPr>
      <w:r>
        <w:t>Do not report B-Cubed, cluster precision/recall/F1, exact-group recovery, split rate, or impurity as corpus metrics from the partial judged graph.</w:t>
      </w:r>
    </w:p>
    <w:p>
      <w:pPr>
        <w:numPr>
          <w:ilvl w:val="0"/>
          <w:numId w:val="10"/>
        </w:numPr>
        <w:jc w:val="left"/>
      </w:pPr>
      <w:r>
        <w:t>Do not combine Step 5a and Step 5b raw counts into one headline confusion matrix. If diagnostic TP/FP/FN/TN tables are shown, label the sampling frame and stream on every table.</w:t>
      </w:r>
    </w:p>
    <w:p>
      <w:pPr>
        <w:numPr>
          <w:ilvl w:val="0"/>
          <w:numId w:val="10"/>
        </w:numPr>
        <w:jc w:val="left"/>
      </w:pPr>
      <w:r>
        <w:t>Do not interpret URL equality, high cosine, high Jaccard, or model confidence as ground-truth labels.</w:t>
      </w:r>
    </w:p>
    <w:p>
      <w:pPr>
        <w:pStyle w:val="Callout"/>
        <w:shd w:fill="FFF7E0"/>
      </w:pPr>
      <w:r>
        <w:rPr>
          <w:rFonts w:ascii="Calibri" w:hAnsi="Calibri" w:eastAsia="Calibri"/>
          <w:b/>
          <w:color w:val="7A5A00"/>
          <w:sz w:val="21"/>
        </w:rPr>
        <w:t xml:space="preserve">Correct V0 language. </w:t>
      </w:r>
      <w:r>
        <w:rPr>
          <w:rFonts w:ascii="Calibri" w:hAnsi="Calibri" w:eastAsia="Calibri"/>
          <w:color w:val="0B2545"/>
          <w:sz w:val="21"/>
        </w:rPr>
        <w:t>Use “removal precision on the sampled removal-decision frame,” “minimum-diff safety pass rate,” and “missed-duplicate yield in the sampled candidate pool.” Do not shorten the last metric to “recall.”</w:t>
      </w:r>
    </w:p>
    <w:p>
      <w:pPr>
        <w:pStyle w:val="Heading1"/>
        <w:keepNext/>
      </w:pPr>
      <w:r>
        <w:t>Step 10 — Publish the V0 Report and Reproducibility Bundle</w:t>
      </w:r>
    </w:p>
    <w:p>
      <w:pPr>
        <w:pStyle w:val="StepMetadata"/>
        <w:keepNext/>
      </w:pPr>
      <w:r>
        <w:rPr>
          <w:b/>
        </w:rPr>
        <w:t xml:space="preserve">OWNER  </w:t>
      </w:r>
      <w:r>
        <w:t>Hongsheng</w:t>
      </w:r>
      <w:r>
        <w:t xml:space="preserve">     |     </w:t>
      </w:r>
      <w:r>
        <w:rPr>
          <w:b/>
        </w:rPr>
        <w:t xml:space="preserve">GATE  </w:t>
      </w:r>
      <w:r>
        <w:t>FINAL — V0 is complete only when all artifacts are auditable</w:t>
      </w:r>
    </w:p>
    <w:p>
      <w:pPr>
        <w:pStyle w:val="Heading2"/>
        <w:jc w:val="left"/>
        <w:keepNext/>
      </w:pPr>
      <w:r>
        <w:t>Required report sections</w:t>
      </w:r>
    </w:p>
    <w:p>
      <w:pPr>
        <w:numPr>
          <w:ilvl w:val="0"/>
          <w:numId w:val="25"/>
        </w:numPr>
        <w:jc w:val="left"/>
      </w:pPr>
      <w:r>
        <w:t>Executive summary: what ran, what completed, what failed, and the most important observed failure modes. State that V0 optimizes pipeline completion rather than score quality.</w:t>
      </w:r>
    </w:p>
    <w:p>
      <w:pPr>
        <w:numPr>
          <w:ilvl w:val="0"/>
          <w:numId w:val="25"/>
        </w:numPr>
        <w:jc w:val="left"/>
      </w:pPr>
      <w:r>
        <w:t>Scope and frozen configuration: verified 10,008,061-document corpus, upstream exact-dedup precondition, SUT outputs and reproducibility status, embedding artifact, retrieval configuration, judge model/prompt, seeds, and code/container versions.</w:t>
      </w:r>
    </w:p>
    <w:p>
      <w:pPr>
        <w:numPr>
          <w:ilvl w:val="0"/>
          <w:numId w:val="25"/>
        </w:numPr>
        <w:jc w:val="left"/>
      </w:pPr>
      <w:r>
        <w:t>Pipeline accounting: row and pair counts at every step, including every filter and deduplication stage.</w:t>
      </w:r>
    </w:p>
    <w:p>
      <w:pPr>
        <w:numPr>
          <w:ilvl w:val="0"/>
          <w:numId w:val="25"/>
        </w:numPr>
        <w:jc w:val="left"/>
      </w:pPr>
      <w:r>
        <w:t>Step 5a safety results: main removal precision/wrong-removal rate plus separate minimum-diff results if implemented.</w:t>
      </w:r>
    </w:p>
    <w:p>
      <w:pPr>
        <w:numPr>
          <w:ilvl w:val="0"/>
          <w:numId w:val="25"/>
        </w:numPr>
        <w:jc w:val="left"/>
      </w:pPr>
      <w:r>
        <w:t>Step 5b diagnostics: candidate counts, selected counts, overlap, positive yield, unique-positive contribution, and failure examples by retrieval source.</w:t>
      </w:r>
    </w:p>
    <w:p>
      <w:pPr>
        <w:numPr>
          <w:ilvl w:val="0"/>
          <w:numId w:val="25"/>
        </w:numPr>
        <w:jc w:val="left"/>
      </w:pPr>
      <w:r>
        <w:t>Judge QA: schema validity, resolution, retries/errors, human agreement, and representative disagreements.</w:t>
      </w:r>
    </w:p>
    <w:p>
      <w:pPr>
        <w:numPr>
          <w:ilvl w:val="0"/>
          <w:numId w:val="25"/>
        </w:numPr>
        <w:jc w:val="left"/>
      </w:pPr>
      <w:r>
        <w:t>Limitations: incomplete recall frame, partial judged graph, model-judge uncertainty, sampling design, truncation, metadata missingness, and any skipped optional work.</w:t>
      </w:r>
    </w:p>
    <w:p>
      <w:pPr>
        <w:numPr>
          <w:ilvl w:val="0"/>
          <w:numId w:val="25"/>
        </w:numPr>
        <w:jc w:val="left"/>
      </w:pPr>
      <w:r>
        <w:t>Next-version backlog: audit islands, additional retrievers, graph-risk sampling, judge calibration/fine-tuning, and statistically defensible recall estimation.</w:t>
      </w:r>
    </w:p>
    <w:p>
      <w:pPr>
        <w:pStyle w:val="Heading2"/>
        <w:jc w:val="left"/>
        <w:keepNext/>
      </w:pPr>
      <w:r>
        <w:t>Required artifact bundle</w:t>
      </w:r>
    </w:p>
    <w:p>
      <w:pPr>
        <w:pStyle w:val="Paragraph"/>
      </w:pPr>
      <w:r>
        <w:t>The v0_run/ tree below is the runtime artifact layout, not a source-code directory. It must be created beneath the configured external run root and must never be placed under eval/dedup/. In particular, eval/dedup/handoff/ contains source code, while v0_run/data/ contains generated evaluation artifacts.</w:t>
      </w:r>
    </w:p>
    <w:p>
      <w:pPr>
        <w:pStyle w:val="CodeBlock"/>
        <w:shd w:fill="F1F3F5"/>
      </w:pPr>
      <w:r>
        <w:rPr>
          <w:rFonts w:ascii="Menlo" w:hAnsi="Menlo" w:eastAsia="Menlo"/>
          <w:color w:val="0B2545"/>
          <w:sz w:val="17"/>
        </w:rPr>
        <w:t>v0_run/</w:t>
        <w:br/>
        <w:t>├── manifests/</w:t>
        <w:br/>
        <w:t>│   ├── evaluation_manifest.json</w:t>
        <w:br/>
        <w:t>│   ├── corpus_manifest.json</w:t>
        <w:br/>
        <w:t>│   ├── sut_run_manifest.json</w:t>
        <w:br/>
        <w:t>│   ├── retrieval_config.json</w:t>
        <w:br/>
        <w:t>│   └── judge_config.json</w:t>
        <w:br/>
        <w:t>├── data/</w:t>
        <w:br/>
        <w:t>│   ├── document_outcomes.parquet</w:t>
        <w:br/>
        <w:t>│   ├── anchors.parquet</w:t>
        <w:br/>
        <w:t>│   ├── candidate_pairs.parquet</w:t>
        <w:br/>
        <w:t>│   ├── pair_provenance.parquet</w:t>
        <w:br/>
        <w:t>│   ├── judge_results.jsonl</w:t>
        <w:br/>
        <w:t>│   ├── pair_comparisons.parquet</w:t>
        <w:br/>
        <w:t>│   └── partial_reference_components.parquet</w:t>
        <w:br/>
        <w:t>├── reports/</w:t>
        <w:br/>
        <w:t>│   ├── metrics.json</w:t>
        <w:br/>
        <w:t>│   ├── metrics_by_slice.csv</w:t>
        <w:br/>
        <w:t>│   ├── pipeline_accounting.csv</w:t>
        <w:br/>
        <w:t>│   └── final_report.md</w:t>
        <w:br/>
        <w:t>└── logs/</w:t>
        <w:br/>
        <w:t xml:space="preserve">    ├── retrieval.log</w:t>
        <w:br/>
        <w:t xml:space="preserve">    ├── judge_errors.jsonl</w:t>
        <w:br/>
        <w:t xml:space="preserve">    └── execution_environment.json</w:t>
      </w:r>
    </w:p>
    <w:p>
      <w:pPr>
        <w:pStyle w:val="Heading2"/>
        <w:jc w:val="left"/>
        <w:keepNext/>
      </w:pPr>
      <w:r>
        <w:t>V0 acceptance criteria</w:t>
      </w:r>
    </w:p>
    <w:p>
      <w:pPr>
        <w:numPr>
          <w:ilvl w:val="0"/>
          <w:numId w:val="10"/>
        </w:numPr>
        <w:jc w:val="left"/>
      </w:pPr>
      <w:r>
        <w:t>Steps 1–10 completed on the frozen 10,008,061-document cohort, or every downstream deviation is explicitly listed with its effect and owner. Disclosed non-blocking upstream provenance gaps do not by themselves fail V0.</w:t>
      </w:r>
    </w:p>
    <w:p>
      <w:pPr>
        <w:numPr>
          <w:ilvl w:val="0"/>
          <w:numId w:val="10"/>
        </w:numPr>
        <w:jc w:val="left"/>
      </w:pPr>
      <w:r>
        <w:t>Every selected pair has a canonical ID, complete text references, source provenance, and a reproducible selection path.</w:t>
      </w:r>
    </w:p>
    <w:p>
      <w:pPr>
        <w:numPr>
          <w:ilvl w:val="0"/>
          <w:numId w:val="10"/>
        </w:numPr>
        <w:jc w:val="left"/>
      </w:pPr>
      <w:r>
        <w:t>At least 99% of requested judge payloads produce schema-valid stored results; failures remain in judge_errors.jsonl and are not silently dropped.</w:t>
      </w:r>
    </w:p>
    <w:p>
      <w:pPr>
        <w:numPr>
          <w:ilvl w:val="0"/>
          <w:numId w:val="10"/>
        </w:numPr>
        <w:jc w:val="left"/>
      </w:pPr>
      <w:r>
        <w:t>The 200-pair human QA sample is completed and summarized before the report is finalized.</w:t>
      </w:r>
    </w:p>
    <w:p>
      <w:pPr>
        <w:numPr>
          <w:ilvl w:val="0"/>
          <w:numId w:val="10"/>
        </w:numPr>
        <w:jc w:val="left"/>
      </w:pPr>
      <w:r>
        <w:t>Step 5a and Step 5b remain separate in sampling, accounting, and headline results.</w:t>
      </w:r>
    </w:p>
    <w:p>
      <w:pPr>
        <w:numPr>
          <w:ilvl w:val="0"/>
          <w:numId w:val="10"/>
        </w:numPr>
        <w:jc w:val="left"/>
      </w:pPr>
      <w:r>
        <w:t>evaluation_manifest.json, its evaluation_run_id, upstream artifact paths and SHA-256 references, provenance-availability flags, upstream_reproducibility_status, all seeds, code/container versions, canonical_pair_id_version, prompt/schema versions, checksums, and output paths are included in the artifact bundle.</w:t>
      </w:r>
    </w:p>
    <w:p>
      <w:pPr>
        <w:numPr>
          <w:ilvl w:val="0"/>
          <w:numId w:val="10"/>
        </w:numPr>
        <w:jc w:val="left"/>
      </w:pPr>
      <w:r>
        <w:t>The report uses bounded V0 claims and explicitly states that it does not estimate corpus-wide recall or complete cluster quality.</w:t>
      </w:r>
    </w:p>
    <w:p>
      <w:pPr>
        <w:pStyle w:val="Paragraph"/>
      </w:pPr>
      <w:r>
        <w:t>The implementation matches the required eval/dedup/ repository layout, README.md maps every module to its responsibility and output artifacts, and tests are located under tests/eval/dedup/. No competing top-level implementation layout or runtime data directory exists under eval/dedup/.</w:t>
      </w:r>
    </w:p>
    <w:p>
      <w:pPr>
        <w:pStyle w:val="Paragraph"/>
      </w:pPr>
      <w:r>
        <w:t>python -m eval.dedup and the documented CLI commands resolve through __main__.py and cli.py, while imports remain side-effect free. run.py can resume from validated stage artifacts without bypassing manifest, checksum, schema-version, or track-separation gates.</w:t>
      </w:r>
    </w:p>
    <w:p>
      <w:pPr>
        <w:pStyle w:val="Callout"/>
        <w:shd w:fill="FDECEC"/>
      </w:pPr>
      <w:r>
        <w:rPr>
          <w:b/>
        </w:rPr>
        <w:t xml:space="preserve">What does not block completion. </w:t>
      </w:r>
      <w:r>
        <w:t>A low removal-precision estimate, low Step 5b positive yield, poor judge–human agreement, or a disclosed upstream reproducibility gap does not by itself fail V0. Those are findings or limitations. V0 fails when required evaluation artifacts are incomplete, downstream selection or judgment cannot be reproduced, required joins/checksums are inconsistent, limitations are hidden, or results are reported beyond their valid scope.</w:t>
      </w:r>
    </w:p>
    <w:p>
      <w:r>
        <w:br w:type="page"/>
      </w:r>
    </w:p>
    <w:p>
      <w:pPr>
        <w:pStyle w:val="Heading1"/>
      </w:pPr>
      <w:r>
        <w:t>Appendix A — Canonical Candidate-Pair Data Contract</w:t>
      </w:r>
    </w:p>
    <w:p>
      <w:r>
        <w:t>The following fields are the minimum contract for an AI agent or human implementation. A physical design may split them across pair and provenance tables, but no information may be lost.</w:t>
      </w:r>
    </w:p>
    <w:tbl>
      <w:tblPr>
        <w:tblStyle w:val="TableGrid"/>
        <w:tblW w:type="dxa" w:w="9360"/>
        <w:tblLayout w:type="fixed"/>
        <w:tblLook w:firstColumn="1" w:firstRow="1" w:lastColumn="0" w:lastRow="0" w:noHBand="0" w:noVBand="1" w:val="04A0"/>
        <w:jc w:val="left"/>
        <w:tblInd w:w="120" w:type="dxa"/>
      </w:tblPr>
      <w:tblGrid>
        <w:gridCol w:w="2600"/>
        <w:gridCol w:w="1550"/>
        <w:gridCol w:w="5210"/>
      </w:tblGrid>
      <w:tr>
        <w:trPr>
          <w:trHeight w:hRule="atLeast"/>
          <w:tblHeader w:val="true"/>
          <w:cantSplit w:val="true"/>
        </w:trPr>
        <w:tc>
          <w:tcPr>
            <w:tcW w:type="dxa" w:w="2600"/>
            <w:tcMar>
              <w:top w:w="80" w:type="dxa"/>
              <w:start w:w="120" w:type="dxa"/>
              <w:bottom w:w="80" w:type="dxa"/>
              <w:end w:w="120" w:type="dxa"/>
            </w:tcMar>
            <w:vAlign w:val="center"/>
            <w:shd w:fill="F4F6F9"/>
          </w:tcPr>
          <w:p>
            <w:pPr>
              <w:spacing w:after="0"/>
              <w:jc w:val="center"/>
            </w:pPr>
            <w:r>
              <w:rPr>
                <w:rFonts w:ascii="Calibri" w:hAnsi="Calibri" w:eastAsia="Calibri"/>
                <w:b/>
                <w:color w:val="0B2545"/>
                <w:sz w:val="18"/>
              </w:rPr>
              <w:t>Field</w:t>
            </w:r>
          </w:p>
        </w:tc>
        <w:tc>
          <w:tcPr>
            <w:tcW w:type="dxa" w:w="1550"/>
            <w:tcMar>
              <w:top w:w="80" w:type="dxa"/>
              <w:start w:w="120" w:type="dxa"/>
              <w:bottom w:w="80" w:type="dxa"/>
              <w:end w:w="120" w:type="dxa"/>
            </w:tcMar>
            <w:vAlign w:val="center"/>
            <w:shd w:fill="F4F6F9"/>
          </w:tcPr>
          <w:p>
            <w:pPr>
              <w:spacing w:after="0"/>
              <w:jc w:val="left"/>
            </w:pPr>
            <w:r>
              <w:rPr>
                <w:rFonts w:ascii="Calibri" w:hAnsi="Calibri" w:eastAsia="Calibri"/>
                <w:b/>
                <w:color w:val="0B2545"/>
                <w:sz w:val="18"/>
              </w:rPr>
              <w:t>Required</w:t>
            </w:r>
          </w:p>
        </w:tc>
        <w:tc>
          <w:tcPr>
            <w:tcW w:type="dxa" w:w="5210"/>
            <w:tcMar>
              <w:top w:w="80" w:type="dxa"/>
              <w:start w:w="120" w:type="dxa"/>
              <w:bottom w:w="80" w:type="dxa"/>
              <w:end w:w="120" w:type="dxa"/>
            </w:tcMar>
            <w:vAlign w:val="center"/>
            <w:shd w:fill="F4F6F9"/>
          </w:tcPr>
          <w:p>
            <w:pPr>
              <w:spacing w:after="0"/>
              <w:jc w:val="left"/>
            </w:pPr>
            <w:r>
              <w:rPr>
                <w:rFonts w:ascii="Calibri" w:hAnsi="Calibri" w:eastAsia="Calibri"/>
                <w:b/>
                <w:color w:val="0B2545"/>
                <w:sz w:val="18"/>
              </w:rPr>
              <w:t>Definition</w:t>
            </w:r>
          </w:p>
        </w:tc>
      </w:tr>
      <w:tr>
        <w:trPr>
          <w:cantSplit w:val="true"/>
          <w:trHeight w:hRule="atLeast"/>
        </w:trPr>
        <w:tc>
          <w:tcPr>
            <w:tcW w:type="dxa" w:w="260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canonical_pair_id, canonical_pair_id_version</w:t>
            </w:r>
          </w:p>
        </w:tc>
        <w:tc>
          <w:tcPr>
            <w:tcW w:type="dxa" w:w="155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Yes</w:t>
            </w:r>
          </w:p>
        </w:tc>
        <w:tc>
          <w:tcPr>
            <w:tcW w:type="dxa" w:w="521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Versioned cp1_ SHA-256 identifier over the domain-tagged, length-prefixed UTF-8 endpoint encoding defined in Step 5c; store both original canonical endpoints.</w:t>
            </w:r>
          </w:p>
        </w:tc>
      </w:tr>
      <w:tr>
        <w:trPr>
          <w:cantSplit w:val="true"/>
          <w:trHeight w:hRule="atLeast"/>
        </w:trPr>
        <w:tc>
          <w:tcPr>
            <w:tcW w:type="dxa" w:w="260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doc_id_low, doc_id_high</w:t>
            </w:r>
          </w:p>
        </w:tc>
        <w:tc>
          <w:tcPr>
            <w:tcW w:type="dxa" w:w="155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Yes</w:t>
            </w:r>
          </w:p>
        </w:tc>
        <w:tc>
          <w:tcPr>
            <w:tcW w:type="dxa" w:w="521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Canonical endpoints.</w:t>
            </w:r>
          </w:p>
        </w:tc>
      </w:tr>
      <w:tr>
        <w:trPr>
          <w:cantSplit w:val="true"/>
          <w:trHeight w:hRule="atLeast"/>
        </w:trPr>
        <w:tc>
          <w:tcPr>
            <w:tcW w:type="dxa" w:w="260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track_memberships</w:t>
            </w:r>
          </w:p>
        </w:tc>
        <w:tc>
          <w:tcPr>
            <w:tcW w:type="dxa" w:w="155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Yes</w:t>
            </w:r>
          </w:p>
        </w:tc>
        <w:tc>
          <w:tcPr>
            <w:tcW w:type="dxa" w:w="521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Represented by one-to-many pair_provenance rows; one pair may have several tracks, streams, anchors, retrievers, or selection events.</w:t>
            </w:r>
          </w:p>
        </w:tc>
      </w:tr>
      <w:tr>
        <w:trPr>
          <w:cantSplit w:val="true"/>
          <w:trHeight w:hRule="atLeast"/>
        </w:trPr>
        <w:tc>
          <w:tcPr>
            <w:tcW w:type="dxa" w:w="260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ordered_role_records</w:t>
            </w:r>
          </w:p>
        </w:tc>
        <w:tc>
          <w:tcPr>
            <w:tcW w:type="dxa" w:w="155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For 5a</w:t>
            </w:r>
          </w:p>
        </w:tc>
        <w:tc>
          <w:tcPr>
            <w:tcW w:type="dxa" w:w="521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Keeper and removed direction preserved separately.</w:t>
            </w:r>
          </w:p>
        </w:tc>
      </w:tr>
      <w:tr>
        <w:trPr>
          <w:cantSplit w:val="true"/>
          <w:trHeight w:hRule="atLeast"/>
        </w:trPr>
        <w:tc>
          <w:tcPr>
            <w:tcW w:type="dxa" w:w="260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anchor_memberships</w:t>
            </w:r>
          </w:p>
        </w:tc>
        <w:tc>
          <w:tcPr>
            <w:tcW w:type="dxa" w:w="155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For 5b</w:t>
            </w:r>
          </w:p>
        </w:tc>
        <w:tc>
          <w:tcPr>
            <w:tcW w:type="dxa" w:w="521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Every anchor that generated the pair and its probability.</w:t>
            </w:r>
          </w:p>
        </w:tc>
      </w:tr>
      <w:tr>
        <w:trPr>
          <w:cantSplit w:val="true"/>
          <w:trHeight w:hRule="atLeast"/>
        </w:trPr>
        <w:tc>
          <w:tcPr>
            <w:tcW w:type="dxa" w:w="260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retriever_bitmask</w:t>
            </w:r>
          </w:p>
        </w:tc>
        <w:tc>
          <w:tcPr>
            <w:tcW w:type="dxa" w:w="155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For 5b</w:t>
            </w:r>
          </w:p>
        </w:tc>
        <w:tc>
          <w:tcPr>
            <w:tcW w:type="dxa" w:w="521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lexical, semantic, or both.</w:t>
            </w:r>
          </w:p>
        </w:tc>
      </w:tr>
      <w:tr>
        <w:trPr>
          <w:cantSplit w:val="true"/>
          <w:trHeight w:hRule="atLeast"/>
        </w:trPr>
        <w:tc>
          <w:tcPr>
            <w:tcW w:type="dxa" w:w="260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scores_and_ranks</w:t>
            </w:r>
          </w:p>
        </w:tc>
        <w:tc>
          <w:tcPr>
            <w:tcW w:type="dxa" w:w="155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For 5b</w:t>
            </w:r>
          </w:p>
        </w:tc>
        <w:tc>
          <w:tcPr>
            <w:tcW w:type="dxa" w:w="521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Per-retriever values; null when not generated by that channel.</w:t>
            </w:r>
          </w:p>
        </w:tc>
      </w:tr>
      <w:tr>
        <w:trPr>
          <w:cantSplit w:val="true"/>
          <w:trHeight w:hRule="atLeast"/>
        </w:trPr>
        <w:tc>
          <w:tcPr>
            <w:tcW w:type="dxa" w:w="260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selection_stratum</w:t>
            </w:r>
          </w:p>
        </w:tc>
        <w:tc>
          <w:tcPr>
            <w:tcW w:type="dxa" w:w="155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Yes</w:t>
            </w:r>
          </w:p>
        </w:tc>
        <w:tc>
          <w:tcPr>
            <w:tcW w:type="dxa" w:w="521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Main, minimum-diff category, lexical-only, semantic-only, or both.</w:t>
            </w:r>
          </w:p>
        </w:tc>
      </w:tr>
      <w:tr>
        <w:trPr>
          <w:cantSplit w:val="true"/>
          <w:trHeight w:hRule="atLeast"/>
        </w:trPr>
        <w:tc>
          <w:tcPr>
            <w:tcW w:type="dxa" w:w="260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frame_size and selection_probability</w:t>
            </w:r>
          </w:p>
        </w:tc>
        <w:tc>
          <w:tcPr>
            <w:tcW w:type="dxa" w:w="155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Where defined</w:t>
            </w:r>
          </w:p>
        </w:tc>
        <w:tc>
          <w:tcPr>
            <w:tcW w:type="dxa" w:w="521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Needed for valid frame-level estimates.</w:t>
            </w:r>
          </w:p>
        </w:tc>
      </w:tr>
      <w:tr>
        <w:trPr>
          <w:cantSplit w:val="true"/>
          <w:trHeight w:hRule="atLeast"/>
        </w:trPr>
        <w:tc>
          <w:tcPr>
            <w:tcW w:type="dxa" w:w="260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predicted_cluster_keys</w:t>
            </w:r>
          </w:p>
        </w:tc>
        <w:tc>
          <w:tcPr>
            <w:tcW w:type="dxa" w:w="155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Hidden from judge</w:t>
            </w:r>
          </w:p>
        </w:tc>
        <w:tc>
          <w:tcPr>
            <w:tcW w:type="dxa" w:w="521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Used after judging to compute SUT outcome.</w:t>
            </w:r>
          </w:p>
        </w:tc>
      </w:tr>
      <w:tr>
        <w:trPr>
          <w:cantSplit w:val="true"/>
          <w:trHeight w:hRule="atLeast"/>
        </w:trPr>
        <w:tc>
          <w:tcPr>
            <w:tcW w:type="dxa" w:w="260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neutral metadata</w:t>
            </w:r>
          </w:p>
        </w:tc>
        <w:tc>
          <w:tcPr>
            <w:tcW w:type="dxa" w:w="155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Yes</w:t>
            </w:r>
          </w:p>
        </w:tc>
        <w:tc>
          <w:tcPr>
            <w:tcW w:type="dxa" w:w="521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Language, length, URL/host, crawl time, and missingness flags.</w:t>
            </w:r>
          </w:p>
        </w:tc>
      </w:tr>
      <w:tr>
        <w:trPr>
          <w:cantSplit w:val="true"/>
          <w:trHeight w:hRule="atLeast"/>
        </w:trPr>
        <w:tc>
          <w:tcPr>
            <w:tcW w:type="dxa" w:w="260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judge_payload_hash</w:t>
            </w:r>
          </w:p>
        </w:tc>
        <w:tc>
          <w:tcPr>
            <w:tcW w:type="dxa" w:w="155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Yes</w:t>
            </w:r>
          </w:p>
        </w:tc>
        <w:tc>
          <w:tcPr>
            <w:tcW w:type="dxa" w:w="521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Hash of exact judge-visible content and metadata.</w:t>
            </w:r>
          </w:p>
        </w:tc>
      </w:tr>
      <w:tr>
        <w:trPr>
          <w:cantSplit w:val="true"/>
          <w:trHeight w:hRule="atLeast"/>
        </w:trPr>
        <w:tc>
          <w:tcPr>
            <w:tcW w:type="dxa" w:w="260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judge_result_id</w:t>
            </w:r>
          </w:p>
        </w:tc>
        <w:tc>
          <w:tcPr>
            <w:tcW w:type="dxa" w:w="155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After Step 6</w:t>
            </w:r>
          </w:p>
        </w:tc>
        <w:tc>
          <w:tcPr>
            <w:tcW w:type="dxa" w:w="521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Foreign key to validated result and judge configuration.</w:t>
            </w:r>
          </w:p>
        </w:tc>
      </w:tr>
    </w:tbl>
    <w:p>
      <w:pPr>
        <w:spacing w:after="0"/>
      </w:pPr>
    </w:p>
    <w:p>
      <w:pPr>
        <w:pStyle w:val="Heading1"/>
      </w:pPr>
      <w:r>
        <w:t>Appendix B — Required Run-Manifest Keys</w:t>
      </w:r>
    </w:p>
    <w:p>
      <w:pPr>
        <w:pStyle w:val="CodeBlock"/>
        <w:shd w:fill="F1F3F5"/>
      </w:pPr>
      <w:r>
        <w:t>evaluation_run_id</w:t>
        <w:br/>
        <w:t>evaluation_manifest_schema_version</w:t>
        <w:br/>
        <w:t>artifact_schema_version</w:t>
        <w:br/>
        <w:t>corpus_manifest_uri</w:t>
        <w:br/>
        <w:t>corpus_manifest_sha256</w:t>
        <w:br/>
        <w:t>sut_run_id</w:t>
        <w:br/>
        <w:t>sut_run_manifest_uri</w:t>
        <w:br/>
        <w:t>sut_run_manifest_sha256</w:t>
        <w:br/>
        <w:t>dataset_version</w:t>
        <w:br/>
        <w:t>dataset_row_count</w:t>
        <w:br/>
        <w:t>dataset_checksums</w:t>
        <w:br/>
        <w:t>normalization_version</w:t>
        <w:br/>
        <w:t>exact_dedup_applied_upstream</w:t>
        <w:br/>
        <w:t>exact_dedup_in_evaluation_scope</w:t>
        <w:br/>
        <w:t>exact_dedup_provenance_optional</w:t>
        <w:br/>
        <w:t>sut_method_name</w:t>
        <w:br/>
        <w:t>sut_config_digest</w:t>
        <w:br/>
        <w:t>sut_resolved_config_uri_and_sha256_optional</w:t>
        <w:br/>
        <w:t>sut_code_or_container_version</w:t>
        <w:br/>
        <w:t>upstream_reproducibility_status</w:t>
        <w:br/>
        <w:t>upstream_provenance_availability</w:t>
        <w:br/>
        <w:t>embedding_artifact_uri_and_sha256</w:t>
        <w:br/>
        <w:t>embedding_model_and_revision_if_available</w:t>
        <w:br/>
        <w:t>embedding_mode_and_normalization</w:t>
        <w:br/>
        <w:t>embedding_run_manifest_uri_and_sha256_optional</w:t>
        <w:br/>
        <w:t>retrieval_attestation_uri_and_sha256_optional</w:t>
        <w:br/>
        <w:t>anchor_seed</w:t>
        <w:br/>
        <w:t>pair_seed</w:t>
        <w:br/>
        <w:t>judge_order_seed</w:t>
        <w:br/>
        <w:t>canonical_pair_id_version</w:t>
        <w:br/>
        <w:t>retrieval_config_and_pilot_cutoffs</w:t>
        <w:br/>
        <w:t>judge_model_and_revision</w:t>
        <w:br/>
        <w:t>prompt_version</w:t>
        <w:br/>
        <w:t>judge_schema_version</w:t>
        <w:br/>
        <w:t>execution_environment</w:t>
        <w:br/>
        <w:t>output_root</w:t>
        <w:br/>
        <w:t>created_at_utc</w:t>
      </w:r>
    </w:p>
    <w:p>
      <w:r>
        <w:br w:type="page"/>
      </w:r>
    </w:p>
    <w:p>
      <w:pPr>
        <w:pStyle w:val="Heading1"/>
      </w:pPr>
      <w:r>
        <w:t>Appendix C — Failure Handling</w:t>
      </w:r>
    </w:p>
    <w:tbl>
      <w:tblPr>
        <w:tblStyle w:val="TableGrid"/>
        <w:tblW w:type="dxa" w:w="9360"/>
        <w:tblLayout w:type="fixed"/>
        <w:tblLook w:firstColumn="1" w:firstRow="1" w:lastColumn="0" w:lastRow="0" w:noHBand="0" w:noVBand="1" w:val="04A0"/>
        <w:jc w:val="left"/>
        <w:tblInd w:w="120" w:type="dxa"/>
      </w:tblPr>
      <w:tblGrid>
        <w:gridCol w:w="2100"/>
        <w:gridCol w:w="4100"/>
        <w:gridCol w:w="3160"/>
      </w:tblGrid>
      <w:tr>
        <w:trPr>
          <w:trHeight w:hRule="atLeast"/>
          <w:tblHeader w:val="true"/>
          <w:cantSplit w:val="true"/>
        </w:trPr>
        <w:tc>
          <w:tcPr>
            <w:tcW w:type="dxa" w:w="2100"/>
            <w:tcMar>
              <w:top w:w="80" w:type="dxa"/>
              <w:start w:w="120" w:type="dxa"/>
              <w:bottom w:w="80" w:type="dxa"/>
              <w:end w:w="120" w:type="dxa"/>
            </w:tcMar>
            <w:vAlign w:val="center"/>
            <w:shd w:fill="F4F6F9"/>
          </w:tcPr>
          <w:p>
            <w:pPr>
              <w:spacing w:after="0"/>
              <w:jc w:val="center"/>
            </w:pPr>
            <w:r>
              <w:rPr>
                <w:rFonts w:ascii="Calibri" w:hAnsi="Calibri" w:eastAsia="Calibri"/>
                <w:b/>
                <w:color w:val="0B2545"/>
                <w:sz w:val="18"/>
              </w:rPr>
              <w:t>Failure</w:t>
            </w:r>
          </w:p>
        </w:tc>
        <w:tc>
          <w:tcPr>
            <w:tcW w:type="dxa" w:w="4100"/>
            <w:tcMar>
              <w:top w:w="80" w:type="dxa"/>
              <w:start w:w="120" w:type="dxa"/>
              <w:bottom w:w="80" w:type="dxa"/>
              <w:end w:w="120" w:type="dxa"/>
            </w:tcMar>
            <w:vAlign w:val="center"/>
            <w:shd w:fill="F4F6F9"/>
          </w:tcPr>
          <w:p>
            <w:pPr>
              <w:spacing w:after="0"/>
              <w:jc w:val="left"/>
            </w:pPr>
            <w:r>
              <w:rPr>
                <w:rFonts w:ascii="Calibri" w:hAnsi="Calibri" w:eastAsia="Calibri"/>
                <w:b/>
                <w:color w:val="0B2545"/>
                <w:sz w:val="18"/>
              </w:rPr>
              <w:t>Required behavior</w:t>
            </w:r>
          </w:p>
        </w:tc>
        <w:tc>
          <w:tcPr>
            <w:tcW w:type="dxa" w:w="3160"/>
            <w:tcMar>
              <w:top w:w="80" w:type="dxa"/>
              <w:start w:w="120" w:type="dxa"/>
              <w:bottom w:w="80" w:type="dxa"/>
              <w:end w:w="120" w:type="dxa"/>
            </w:tcMar>
            <w:vAlign w:val="center"/>
            <w:shd w:fill="F4F6F9"/>
          </w:tcPr>
          <w:p>
            <w:pPr>
              <w:spacing w:after="0"/>
              <w:jc w:val="left"/>
            </w:pPr>
            <w:r>
              <w:rPr>
                <w:rFonts w:ascii="Calibri" w:hAnsi="Calibri" w:eastAsia="Calibri"/>
                <w:b/>
                <w:color w:val="0B2545"/>
                <w:sz w:val="18"/>
              </w:rPr>
              <w:t>Must not happen</w:t>
            </w:r>
          </w:p>
        </w:tc>
      </w:tr>
      <w:tr>
        <w:trPr>
          <w:cantSplit w:val="true"/>
          <w:trHeight w:hRule="atLeast"/>
        </w:trPr>
        <w:tc>
          <w:tcPr>
            <w:tcW w:type="dxa" w:w="210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Required field missing</w:t>
            </w:r>
          </w:p>
        </w:tc>
        <w:tc>
          <w:tcPr>
            <w:tcW w:type="dxa" w:w="410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Stop the affected step; emit field name, row count, and owner.</w:t>
            </w:r>
          </w:p>
        </w:tc>
        <w:tc>
          <w:tcPr>
            <w:tcW w:type="dxa" w:w="316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Invent a default or silently drop rows.</w:t>
            </w:r>
          </w:p>
        </w:tc>
      </w:tr>
      <w:tr>
        <w:trPr>
          <w:cantSplit w:val="true"/>
          <w:trHeight w:hRule="atLeast"/>
        </w:trPr>
        <w:tc>
          <w:tcPr>
            <w:tcW w:type="dxa" w:w="210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Join mismatch</w:t>
            </w:r>
          </w:p>
        </w:tc>
        <w:tc>
          <w:tcPr>
            <w:tcW w:type="dxa" w:w="410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Write unmatched IDs and stop when any required join is incomplete.</w:t>
            </w:r>
          </w:p>
        </w:tc>
        <w:tc>
          <w:tcPr>
            <w:tcW w:type="dxa" w:w="316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Continue with partial groups or removals.</w:t>
            </w:r>
          </w:p>
        </w:tc>
      </w:tr>
      <w:tr>
        <w:trPr>
          <w:cantSplit w:val="true"/>
          <w:trHeight w:hRule="atLeast"/>
        </w:trPr>
        <w:tc>
          <w:tcPr>
            <w:tcW w:type="dxa" w:w="210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Sparse retrieval stratum</w:t>
            </w:r>
          </w:p>
        </w:tc>
        <w:tc>
          <w:tcPr>
            <w:tcW w:type="dxa" w:w="410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Use the documented deterministic refill rule and record counts.</w:t>
            </w:r>
          </w:p>
        </w:tc>
        <w:tc>
          <w:tcPr>
            <w:tcW w:type="dxa" w:w="316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Change quotas after reading judge labels.</w:t>
            </w:r>
          </w:p>
        </w:tc>
      </w:tr>
      <w:tr>
        <w:trPr>
          <w:cantSplit w:val="true"/>
          <w:trHeight w:hRule="atLeast"/>
        </w:trPr>
        <w:tc>
          <w:tcPr>
            <w:tcW w:type="dxa" w:w="210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Judge schema failure</w:t>
            </w:r>
          </w:p>
        </w:tc>
        <w:tc>
          <w:tcPr>
            <w:tcW w:type="dxa" w:w="410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Retry twice; then store judge_error and unresolved status.</w:t>
            </w:r>
          </w:p>
        </w:tc>
        <w:tc>
          <w:tcPr>
            <w:tcW w:type="dxa" w:w="316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Parse free-form text heuristically without logging.</w:t>
            </w:r>
          </w:p>
        </w:tc>
      </w:tr>
      <w:tr>
        <w:trPr>
          <w:cantSplit w:val="true"/>
          <w:trHeight w:hRule="atLeast"/>
        </w:trPr>
        <w:tc>
          <w:tcPr>
            <w:tcW w:type="dxa" w:w="210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Constraint conflict</w:t>
            </w:r>
          </w:p>
        </w:tc>
        <w:tc>
          <w:tcPr>
            <w:tcW w:type="dxa" w:w="410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Preserve contributing edges and route to human QA.</w:t>
            </w:r>
          </w:p>
        </w:tc>
        <w:tc>
          <w:tcPr>
            <w:tcW w:type="dxa" w:w="316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Force transitive closure through a cannot-link.</w:t>
            </w:r>
          </w:p>
        </w:tc>
      </w:tr>
      <w:tr>
        <w:trPr>
          <w:cantSplit w:val="true"/>
          <w:trHeight w:hRule="atLeast"/>
        </w:trPr>
        <w:tc>
          <w:tcPr>
            <w:tcW w:type="dxa" w:w="210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Metric unsupported by frame</w:t>
            </w:r>
          </w:p>
        </w:tc>
        <w:tc>
          <w:tcPr>
            <w:tcW w:type="dxa" w:w="410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Omit it and state why.</w:t>
            </w:r>
          </w:p>
        </w:tc>
        <w:tc>
          <w:tcPr>
            <w:tcW w:type="dxa" w:w="316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Rename candidate-pool yield as corpus recall.</w:t>
            </w:r>
          </w:p>
        </w:tc>
      </w:tr>
    </w:tbl>
    <w:p>
      <w:pPr>
        <w:spacing w:after="0"/>
      </w:pPr>
    </w:p>
    <w:p>
      <w:pPr>
        <w:pStyle w:val="Heading1"/>
      </w:pPr>
      <w:r>
        <w:t>Appendix D — Source Proposals</w:t>
      </w:r>
    </w:p>
    <w:p>
      <w:pPr>
        <w:numPr>
          <w:ilvl w:val="0"/>
          <w:numId w:val="26"/>
        </w:numPr>
        <w:jc w:val="left"/>
      </w:pPr>
      <w:r>
        <w:t>Vibhu_Hongsheng Discussion.docx — initial 1M scope, superseded by this V0.3 10M handoff, plus anchor and pair budgets and initial Step 5b candidates.</w:t>
      </w:r>
    </w:p>
    <w:p>
      <w:pPr>
        <w:numPr>
          <w:ilvl w:val="0"/>
          <w:numId w:val="26"/>
        </w:numPr>
        <w:jc w:val="left"/>
      </w:pPr>
      <w:r>
        <w:t>NeMo Curator Dedup Evaluation.docx — the ten-step pipeline structure, judge outputs, partial reference graph concept, and reporting flow.</w:t>
      </w:r>
    </w:p>
    <w:p>
      <w:pPr>
        <w:numPr>
          <w:ilvl w:val="0"/>
          <w:numId w:val="26"/>
        </w:numPr>
        <w:jc w:val="left"/>
      </w:pPr>
      <w:r>
        <w:t xml:space="preserve">Dedup Evaluation Proposal — detailed sampling-frame and candidate-construction rationale: </w:t>
      </w:r>
      <w:hyperlink ns2:id="rId11">
        <w:r>
          <w:rPr>
            <w:color w:val="2E74B5"/>
            <w:u w:val="single"/>
          </w:rPr>
          <w:t>GitHub proposal</w:t>
        </w:r>
      </w:hyperlink>
    </w:p>
    <w:sectPr w:rsidR="00FC693F" w:rsidRPr="0006063C" w:rsidSect="00034616">
      <w:headerReference w:type="default" ns2:id="rId9"/>
      <w:footerReference w:type="default" ns2: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eastAsia="Calibri"/>
        <w:color w:val="5B6573"/>
        <w:sz w:val="17"/>
      </w:rPr>
      <w:t xml:space="preserve">INTERNAL WORKING DRAFT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4" w:space="4" w:color="D5DCE5"/>
      </w:pBdr>
    </w:pPr>
    <w:r>
      <w:rPr>
        <w:rFonts w:ascii="Calibri" w:hAnsi="Calibri" w:eastAsia="Calibri"/>
        <w:b/>
        <w:color w:val="5B6573"/>
        <w:sz w:val="17"/>
      </w:rPr>
      <w:t>NEMO CURATOR DEDUP EVALUATION  |  V0 OPERATIONAL PROPOSAL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540"/>
        </w:tabs>
        <w:ind w:left="540" w:hanging="280"/>
        <w:spacing w:after="80" w:line="290" w:lineRule="auto"/>
      </w:pPr>
      <w:rPr>
        <w:rFonts w:ascii="Calibri" w:hAnsi="Calibri"/>
      </w:rPr>
    </w:lvl>
  </w:abstractNum>
  <w:num w:numId="10">
    <w:abstractNumId w:val="9"/>
  </w:num>
  <w:abstractNum w:abstractNumId="10">
    <w:multiLevelType w:val="singleLevel"/>
    <w:lvl w:ilvl="0">
      <w:start w:val="1"/>
      <w:numFmt w:val="decimal"/>
      <w:lvlText w:val="%1."/>
      <w:suff w:val="tab"/>
      <w:pPr>
        <w:tabs>
          <w:tab w:val="num" w:pos="540"/>
        </w:tabs>
        <w:ind w:left="540" w:hanging="280"/>
        <w:spacing w:after="80" w:line="290" w:lineRule="auto"/>
      </w:pPr>
      <w:rPr>
        <w:rFonts w:ascii="Calibri" w:hAnsi="Calibri"/>
      </w:rPr>
    </w:lvl>
  </w:abstractNum>
  <w:num w:numId="11">
    <w:abstractNumId w:val="10"/>
  </w:num>
  <w:num w:numId="12">
    <w:abstractNumId w:val="10"/>
    <w:lvlOverride w:ilvl="0">
      <w:startOverride w:val="1"/>
    </w:lvlOverride>
  </w:num>
  <w:num w:numId="13">
    <w:abstractNumId w:val="10"/>
    <w:lvlOverride w:ilvl="0">
      <w:startOverride w:val="1"/>
    </w:lvlOverride>
  </w:num>
  <w:num w:numId="14">
    <w:abstractNumId w:val="10"/>
    <w:lvlOverride w:ilvl="0">
      <w:startOverride w:val="1"/>
    </w:lvlOverride>
  </w:num>
  <w:num w:numId="15">
    <w:abstractNumId w:val="10"/>
    <w:lvlOverride w:ilvl="0">
      <w:startOverride w:val="1"/>
    </w:lvlOverride>
  </w:num>
  <w:num w:numId="16">
    <w:abstractNumId w:val="10"/>
    <w:lvlOverride w:ilvl="0">
      <w:startOverride w:val="1"/>
    </w:lvlOverride>
  </w:num>
  <w:num w:numId="17">
    <w:abstractNumId w:val="10"/>
    <w:lvlOverride w:ilvl="0">
      <w:startOverride w:val="1"/>
    </w:lvlOverride>
  </w:num>
  <w:num w:numId="18">
    <w:abstractNumId w:val="10"/>
    <w:lvlOverride w:ilvl="0">
      <w:startOverride w:val="1"/>
    </w:lvlOverride>
  </w:num>
  <w:num w:numId="19">
    <w:abstractNumId w:val="10"/>
    <w:lvlOverride w:ilvl="0">
      <w:startOverride w:val="1"/>
    </w:lvlOverride>
  </w:num>
  <w:num w:numId="20">
    <w:abstractNumId w:val="10"/>
    <w:lvlOverride w:ilvl="0">
      <w:startOverride w:val="1"/>
    </w:lvlOverride>
  </w:num>
  <w:num w:numId="21">
    <w:abstractNumId w:val="10"/>
    <w:lvlOverride w:ilvl="0">
      <w:startOverride w:val="1"/>
    </w:lvlOverride>
  </w:num>
  <w:num w:numId="22">
    <w:abstractNumId w:val="10"/>
    <w:lvlOverride w:ilvl="0">
      <w:startOverride w:val="1"/>
    </w:lvlOverride>
  </w:num>
  <w:num w:numId="23">
    <w:abstractNumId w:val="10"/>
    <w:lvlOverride w:ilvl="0">
      <w:startOverride w:val="1"/>
    </w:lvlOverride>
  </w:num>
  <w:num w:numId="24">
    <w:abstractNumId w:val="10"/>
    <w:lvlOverride w:ilvl="0">
      <w:startOverride w:val="1"/>
    </w:lvlOverride>
  </w:num>
  <w:num w:numId="25">
    <w:abstractNumId w:val="10"/>
    <w:lvlOverride w:ilvl="0">
      <w:startOverride w:val="1"/>
    </w:lvlOverride>
  </w:num>
  <w:num w:numId="26">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jc w:val="left"/>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jc w:val="left"/>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80"/>
    </w:pPr>
    <w:rPr>
      <w:rFonts w:asciiTheme="majorHAnsi" w:eastAsiaTheme="majorEastAsia" w:hAnsiTheme="majorHAnsi" w:cstheme="majorBidi" w:ascii="Calibri" w:hAnsi="Calibri"/>
      <w:i/>
      <w:iCs/>
      <w:color w:val="5B6573"/>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tepMetadata">
    <w:name w:val="Step Metadata"/>
    <w:pPr>
      <w:keepNext/>
      <w:spacing w:before="0" w:after="120"/>
    </w:pPr>
    <w:rPr>
      <w:rFonts w:ascii="Calibri" w:hAnsi="Calibri"/>
      <w:color w:val="5B6573"/>
      <w:sz w:val="19"/>
    </w:rPr>
  </w:style>
  <w:style w:type="paragraph" w:customStyle="1" w:styleId="Callout">
    <w:name w:val="Callout"/>
    <w:pPr>
      <w:keepLines/>
      <w:spacing w:before="100" w:after="180" w:line="276" w:lineRule="auto"/>
      <w:ind w:left="173" w:right="173"/>
      <w:jc w:val="left"/>
    </w:pPr>
    <w:rPr>
      <w:rFonts w:ascii="Calibri" w:hAnsi="Calibri"/>
      <w:sz w:val="21"/>
    </w:rPr>
  </w:style>
  <w:style w:type="paragraph" w:customStyle="1" w:styleId="CodeBlock">
    <w:name w:val="Code Block"/>
    <w:pPr>
      <w:keepLines/>
      <w:spacing w:before="80" w:after="160" w:line="240" w:lineRule="auto"/>
      <w:ind w:left="216" w:right="216"/>
    </w:pPr>
    <w:rPr>
      <w:rFonts w:ascii="Menlo" w:hAnsi="Menlo"/>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fhschina/nanochat/blob/agent/dedup-evaluation-proposal/reports/dedup_quality/evaluation_proposal.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itle>NeMo Curator Fuzzy Dedup Evaluation — Operational Proposal V0.3</dc:title>
  <dc:subject>Verified 10,008,061-document CC-MAIN-2025-26 evaluation workflow</dc:subject>
  <dc:creator>Hongsheng Fang and collaborators</dc:creator>
  <cp:keywords>NeMo Curator, fuzzy deduplication, evaluation, V0, Common Crawl</cp:keywords>
  <dc:description>V0.3 updates the V0.2 1M plan to the verified /raid/vjawa/dedup_eval_10M handoff.</dc:description>
  <cp:lastModifiedBy/>
  <cp:revision>3</cp:revision>
  <dcterms:created xsi:type="dcterms:W3CDTF">2013-12-23T23:15:00Z</dcterms:created>
  <dcterms:modified xsi:type="dcterms:W3CDTF">2026-08-12T00:29:09Z</dcterms:modified>
  <cp:category/>
</cp:coreProperties>
</file>