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  <w:jc w:val="left"/>
      </w:pPr>
      <w:r>
        <w:rPr>
          <w:b/>
          <w:sz w:val="24"/>
        </w:rPr>
        <w:t>1. 系统架构设计</w:t>
      </w:r>
    </w:p>
    <w:p>
      <w:pPr>
        <w:spacing w:lineRule="exact" w:line="360"/>
        <w:ind w:firstLine="300"/>
      </w:pPr>
      <w:r>
        <w:rPr>
          <w:rFonts w:ascii="SimSun" w:hAnsi="SimSun"/>
          <w:sz w:val="24"/>
        </w:rPr>
        <w:t>如图1所示，系统采用三层架构设计。具体的网络拓扑见图3，详细的模块关系参见图5。</w:t>
      </w:r>
    </w:p>
    <w:p>
      <w:pPr>
        <w:ind w:firstLine="0"/>
        <w:jc w:val="center"/>
      </w:pPr>
      <w:r>
        <w:t>[此处应为图1：系统架构图]</w:t>
      </w:r>
    </w:p>
    <w:p>
      <w:pPr>
        <w:ind w:firstLine="0"/>
        <w:jc w:val="center"/>
      </w:pPr>
      <w:r>
        <w:t>图1 系统架构图</w:t>
      </w:r>
    </w:p>
    <w:p>
      <w:pPr>
        <w:spacing w:lineRule="exact" w:line="360"/>
        <w:ind w:firstLine="300"/>
      </w:pPr>
      <w:r>
        <w:rPr>
          <w:rFonts w:ascii="SimSun" w:hAnsi="SimSun"/>
          <w:sz w:val="24"/>
        </w:rPr>
        <w:t>系统性能指标见表1，压力测试结果参考表3。各模块的资源消耗统计在表2中给出。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t>指标</w:t>
            </w:r>
          </w:p>
        </w:tc>
        <w:tc>
          <w:tcPr>
            <w:tcW w:type="dxa" w:w="4150"/>
          </w:tcPr>
          <w:p>
            <w:r>
              <w:t>值</w:t>
            </w:r>
          </w:p>
        </w:tc>
      </w:tr>
      <w:tr>
        <w:tc>
          <w:tcPr>
            <w:tcW w:type="dxa" w:w="4150"/>
          </w:tcPr>
          <w:p>
            <w:r>
              <w:t>QPS</w:t>
            </w:r>
          </w:p>
        </w:tc>
        <w:tc>
          <w:tcPr>
            <w:tcW w:type="dxa" w:w="4150"/>
          </w:tcPr>
          <w:p>
            <w:r>
              <w:t>10000</w:t>
            </w:r>
          </w:p>
        </w:tc>
      </w:tr>
    </w:tbl>
    <w:p>
      <w:pPr>
        <w:ind w:firstLine="0"/>
        <w:jc w:val="center"/>
      </w:pPr>
      <w:r>
        <w:t>表1 性能指标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t>模块</w:t>
            </w:r>
          </w:p>
        </w:tc>
        <w:tc>
          <w:tcPr>
            <w:tcW w:type="dxa" w:w="4150"/>
          </w:tcPr>
          <w:p>
            <w:r>
              <w:t>CPU</w:t>
            </w:r>
          </w:p>
        </w:tc>
      </w:tr>
      <w:tr>
        <w:tc>
          <w:tcPr>
            <w:tcW w:type="dxa" w:w="4150"/>
          </w:tcPr>
          <w:p>
            <w:r>
              <w:t>API</w:t>
            </w:r>
          </w:p>
        </w:tc>
        <w:tc>
          <w:tcPr>
            <w:tcW w:type="dxa" w:w="4150"/>
          </w:tcPr>
          <w:p>
            <w:r>
              <w:t>50%</w:t>
            </w:r>
          </w:p>
        </w:tc>
      </w:tr>
    </w:tbl>
    <w:p>
      <w:pPr>
        <w:ind w:firstLine="0"/>
        <w:jc w:val="center"/>
      </w:pPr>
      <w:r>
        <w:t>表2 资源消耗</w:t>
      </w:r>
    </w:p>
    <w:p>
      <w:pPr>
        <w:spacing w:lineRule="exact" w:line="360"/>
        <w:ind w:firstLine="300"/>
      </w:pPr>
      <w:r>
        <w:rPr>
          <w:rFonts w:ascii="SimSun" w:hAnsi="SimSun"/>
          <w:sz w:val="24"/>
        </w:rPr>
        <w:t>数据流程如图 1所示，具体参数配置见表 1，监控指标参考图表1。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