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SimHei" w:hAnsi="SimHei"/>
          <w:b w:val="0"/>
          <w:sz w:val="24"/>
        </w:rPr>
        <w:t>一、系统建设方案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本系统必需满足高可用性要求，所有组件必须按照规范进行配置。在戊戌变法时期，技术革新也是必需的。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系统架构采用微服务设计，以至项目延期，我们需要重新评估。容器化部署方式使得系统更加灵活，从而达到预期效果。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Kubernets集群提供了强大的编排能力，确保应用程式的稳定运行。系统会定时进行健康检测，发现问题即时进行处理。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数据库采用主从复制架构，主库负责写操做，从库负责读操作。系统日志会记录所有关建操作，便于后续审计和问题排查。</w:t>
      </w:r>
    </w:p>
    <w:sectPr w:rsidR="00FC693F" w:rsidRPr="0006063C" w:rsidSect="00034616">
      <w:pgSz w:w="11906" w:h="16838"/>
      <w:pgMar w:top="158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