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SimHei" w:hAnsi="SimHei"/>
          <w:b w:val="0"/>
          <w:sz w:val="24"/>
        </w:rPr>
        <w:t>一、系统概述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本系统必须满足高可用性要求，所有组件必须按照规范进行配置。Kubernetes集群提供了强大的编排能力，确保应用程序的稳定运行。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系统采用微服务架构，各模块通过API网关进行通信，实现松耦合设计。数据库采用主从复制架构，主库负责写操作，从库负责读操作。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系统日志会记录所有关键操作，便于后续审计和问题排查。监控系统实时采集各项性能指标，发现异常立即告警。</w:t>
      </w:r>
    </w:p>
    <w:sectPr w:rsidR="00FC693F" w:rsidRPr="0006063C" w:rsidSect="00034616">
      <w:pgSz w:w="11906" w:h="16838"/>
      <w:pgMar w:top="1587" w:right="1361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