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left"/>
      </w:pPr>
      <w:r>
        <w:rPr>
          <w:b/>
          <w:sz w:val="24"/>
        </w:rPr>
        <w:t>1. 系统架构设计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K3S系统采用微服务架构，各模块通过API网关进行通信，实现松耦合设计。系统包括控制平面、数据平面和管理平面三个主要部分。</w:t>
      </w:r>
    </w:p>
    <w:p>
      <w:pPr>
        <w:pStyle w:val="Heading4"/>
        <w:jc w:val="left"/>
      </w:pPr>
      <w:r>
        <w:rPr>
          <w:rFonts w:ascii="Arial" w:hAnsi="Arial"/>
          <w:b/>
          <w:sz w:val="24"/>
        </w:rPr>
        <w:t>1.1 控制平面设计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控制平面负责集群管理、调度决策和资源分配，采用高可用部署模式，确保管理功能的可靠性。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