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456A83">
      <w:pPr>
        <w:pStyle w:val="4"/>
        <w:spacing w:before="0" w:after="0" w:line="276" w:lineRule="auto"/>
        <w:rPr>
          <w:rFonts w:asciiTheme="minorEastAsia" w:hAnsiTheme="minorEastAsia" w:cstheme="minorEastAsia"/>
          <w:sz w:val="24"/>
        </w:rPr>
      </w:pPr>
      <w:r>
        <w:rPr>
          <w:rFonts w:hint="eastAsia" w:asciiTheme="minorEastAsia" w:hAnsiTheme="minorEastAsia" w:cstheme="minorEastAsia"/>
          <w:sz w:val="24"/>
        </w:rPr>
        <w:t>AI模型安全防护系统</w:t>
      </w:r>
    </w:p>
    <w:p w14:paraId="0E14152F">
      <w:pPr>
        <w:pStyle w:val="5"/>
        <w:spacing w:before="0" w:after="0" w:line="276" w:lineRule="auto"/>
        <w:rPr>
          <w:rFonts w:asciiTheme="minorEastAsia" w:hAnsiTheme="minorEastAsia" w:eastAsiaTheme="minorEastAsia" w:cstheme="minorEastAsia"/>
          <w:sz w:val="24"/>
        </w:rPr>
      </w:pPr>
      <w:r>
        <w:rPr>
          <w:rFonts w:asciiTheme="minorEastAsia" w:hAnsiTheme="minorEastAsia" w:eastAsiaTheme="minorEastAsia" w:cstheme="minorEastAsia"/>
          <w:sz w:val="24"/>
        </w:rPr>
        <w:t>AI模型</w:t>
      </w:r>
      <w:r>
        <w:rPr>
          <w:rFonts w:hint="eastAsia" w:asciiTheme="minorEastAsia" w:hAnsiTheme="minorEastAsia" w:eastAsiaTheme="minorEastAsia" w:cstheme="minorEastAsia"/>
          <w:sz w:val="24"/>
        </w:rPr>
        <w:t>数据投毒检测子系统</w:t>
      </w:r>
    </w:p>
    <w:p w14:paraId="337D6DA3">
      <w:pPr>
        <w:pStyle w:val="6"/>
        <w:spacing w:before="0" w:after="0" w:line="276" w:lineRule="auto"/>
        <w:rPr>
          <w:rFonts w:asciiTheme="minorEastAsia" w:hAnsiTheme="minorEastAsia" w:cstheme="minorEastAsia"/>
          <w:sz w:val="24"/>
        </w:rPr>
      </w:pPr>
      <w:r>
        <w:rPr>
          <w:rFonts w:hint="eastAsia" w:asciiTheme="minorEastAsia" w:hAnsiTheme="minorEastAsia" w:cstheme="minorEastAsia"/>
          <w:sz w:val="24"/>
        </w:rPr>
        <w:t>软件组成</w:t>
      </w:r>
    </w:p>
    <w:p w14:paraId="6DE3DD94">
      <w:pPr>
        <w:spacing w:line="400" w:lineRule="atLeast"/>
        <w:ind w:firstLine="424"/>
        <w:rPr>
          <w:rFonts w:hint="eastAsia" w:ascii="宋体" w:hAnsi="宋体"/>
          <w:sz w:val="24"/>
        </w:rPr>
      </w:pPr>
      <w:r>
        <w:rPr>
          <w:rFonts w:hint="eastAsia" w:ascii="宋体" w:hAnsi="宋体"/>
          <w:sz w:val="24"/>
        </w:rPr>
        <w:t>软件组件描述</w:t>
      </w:r>
      <w:r>
        <w:rPr>
          <w:rFonts w:ascii="宋体" w:hAnsi="宋体"/>
          <w:sz w:val="24"/>
        </w:rPr>
        <w:t>…半页</w:t>
      </w:r>
      <w:r>
        <w:rPr>
          <w:rFonts w:hint="eastAsia" w:ascii="宋体" w:hAnsi="宋体"/>
          <w:sz w:val="24"/>
        </w:rPr>
        <w:t>-</w:t>
      </w:r>
      <w:r>
        <w:rPr>
          <w:rFonts w:ascii="宋体" w:hAnsi="宋体"/>
          <w:sz w:val="24"/>
        </w:rPr>
        <w:t>1页纸篇幅即可</w:t>
      </w:r>
    </w:p>
    <w:p w14:paraId="59B86F06">
      <w:pPr>
        <w:spacing w:line="400" w:lineRule="atLeast"/>
        <w:ind w:firstLine="424"/>
      </w:pPr>
      <w:r>
        <w:rPr>
          <w:rFonts w:ascii="宋体" w:hAnsi="宋体"/>
          <w:sz w:val="24"/>
        </w:rPr>
        <w:t>软件组成如下图所示</w:t>
      </w:r>
      <w:r>
        <w:rPr>
          <w:rFonts w:hint="eastAsia" w:ascii="宋体" w:hAnsi="宋体"/>
          <w:sz w:val="24"/>
        </w:rPr>
        <w:t>：</w:t>
      </w:r>
    </w:p>
    <w:p w14:paraId="1388278D">
      <w:pPr>
        <w:pStyle w:val="21"/>
        <w:ind w:firstLine="0"/>
        <w:jc w:val="center"/>
      </w:pPr>
      <w:r>
        <w:object>
          <v:shape id="_x0000_i1025" o:spt="75" type="#_x0000_t75" style="height:225.2pt;width:167.45pt;" o:ole="t" filled="f" o:preferrelative="t" stroked="f" coordsize="21600,21600">
            <v:path/>
            <v:fill on="f" focussize="0,0"/>
            <v:stroke on="f" joinstyle="miter"/>
            <v:imagedata r:id="rId5" o:title=""/>
            <o:lock v:ext="edit" aspectratio="t"/>
            <w10:wrap type="none"/>
            <w10:anchorlock/>
          </v:shape>
          <o:OLEObject Type="Embed" ProgID="Visio.Drawing.15" ShapeID="_x0000_i1025" DrawAspect="Content" ObjectID="_1468075725" r:id="rId4">
            <o:LockedField>false</o:LockedField>
          </o:OLEObject>
        </w:object>
      </w:r>
    </w:p>
    <w:p w14:paraId="6962150D">
      <w:pPr>
        <w:pStyle w:val="21"/>
        <w:ind w:firstLine="0"/>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14</w:t>
      </w:r>
      <w:r>
        <w:fldChar w:fldCharType="end"/>
      </w:r>
      <w:r>
        <w:t xml:space="preserve"> AI模型安全防护系统软件组成图</w:t>
      </w:r>
    </w:p>
    <w:p w14:paraId="72CE82D7">
      <w:pPr>
        <w:rPr>
          <w:rFonts w:asciiTheme="minorEastAsia" w:hAnsiTheme="minorEastAsia" w:cstheme="minorEastAsia"/>
          <w:sz w:val="24"/>
        </w:rPr>
      </w:pPr>
    </w:p>
    <w:p w14:paraId="777E5A41">
      <w:pPr>
        <w:pStyle w:val="6"/>
        <w:spacing w:before="0" w:after="0" w:line="360" w:lineRule="auto"/>
        <w:rPr>
          <w:rFonts w:asciiTheme="minorEastAsia" w:hAnsiTheme="minorEastAsia" w:cstheme="minorEastAsia"/>
          <w:sz w:val="24"/>
        </w:rPr>
      </w:pPr>
      <w:r>
        <w:rPr>
          <w:rFonts w:hint="eastAsia" w:asciiTheme="minorEastAsia" w:hAnsiTheme="minorEastAsia" w:cstheme="minorEastAsia"/>
          <w:sz w:val="24"/>
        </w:rPr>
        <w:t>信息关系</w:t>
      </w:r>
    </w:p>
    <w:p w14:paraId="45595C09">
      <w:pPr>
        <w:pStyle w:val="7"/>
        <w:spacing w:before="0" w:after="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外部信息关系</w:t>
      </w:r>
    </w:p>
    <w:p w14:paraId="102C98D1">
      <w:pPr>
        <w:pStyle w:val="21"/>
        <w:rPr>
          <w:highlight w:val="none"/>
        </w:rPr>
      </w:pPr>
      <w:r>
        <w:rPr>
          <w:highlight w:val="none"/>
        </w:rPr>
        <w:t>AI模型安全防护系统与AI大模型系统进行交互</w:t>
      </w:r>
      <w:r>
        <w:rPr>
          <w:rFonts w:hint="eastAsia"/>
          <w:highlight w:val="none"/>
        </w:rPr>
        <w:t>。</w:t>
      </w:r>
      <w:r>
        <w:rPr>
          <w:rFonts w:hint="eastAsia" w:ascii="宋体" w:hAnsi="宋体"/>
          <w:szCs w:val="24"/>
          <w:highlight w:val="none"/>
        </w:rPr>
        <w:t>系统信息关系如下图所示：</w:t>
      </w:r>
    </w:p>
    <w:p w14:paraId="19EF51B6">
      <w:pPr>
        <w:pStyle w:val="21"/>
        <w:jc w:val="center"/>
        <w:rPr>
          <w:highlight w:val="yellow"/>
        </w:rPr>
      </w:pPr>
      <w:r>
        <w:rPr>
          <w:highlight w:val="none"/>
        </w:rPr>
        <w:object>
          <v:shape id="_x0000_i1026" o:spt="75" type="#_x0000_t75" style="height:340.75pt;width:352.45pt;" o:ole="t" filled="f" o:preferrelative="t" stroked="f" coordsize="21600,21600">
            <v:path/>
            <v:fill on="f" focussize="0,0"/>
            <v:stroke on="f" joinstyle="miter"/>
            <v:imagedata r:id="rId7" o:title=""/>
            <o:lock v:ext="edit" aspectratio="t"/>
            <w10:wrap type="none"/>
            <w10:anchorlock/>
          </v:shape>
          <o:OLEObject Type="Embed" ProgID="Visio.Drawing.15" ShapeID="_x0000_i1026" DrawAspect="Content" ObjectID="_1468075726" r:id="rId6">
            <o:LockedField>false</o:LockedField>
          </o:OLEObject>
        </w:object>
      </w:r>
    </w:p>
    <w:p w14:paraId="0D1E670C">
      <w:pPr>
        <w:pStyle w:val="21"/>
        <w:jc w:val="center"/>
        <w:rPr>
          <w:highlight w:val="none"/>
        </w:rPr>
      </w:pPr>
      <w:r>
        <w:rPr>
          <w:rFonts w:hint="eastAsia"/>
          <w:highlight w:val="none"/>
        </w:rPr>
        <w:t xml:space="preserve">图 </w:t>
      </w:r>
      <w:r>
        <w:rPr>
          <w:highlight w:val="none"/>
        </w:rPr>
        <w:fldChar w:fldCharType="begin"/>
      </w:r>
      <w:r>
        <w:rPr>
          <w:highlight w:val="none"/>
        </w:rPr>
        <w:instrText xml:space="preserve"> </w:instrText>
      </w:r>
      <w:r>
        <w:rPr>
          <w:rFonts w:hint="eastAsia"/>
          <w:highlight w:val="none"/>
        </w:rPr>
        <w:instrText xml:space="preserve">SEQ 图 \* ARABIC</w:instrText>
      </w:r>
      <w:r>
        <w:rPr>
          <w:highlight w:val="none"/>
        </w:rPr>
        <w:instrText xml:space="preserve"> </w:instrText>
      </w:r>
      <w:r>
        <w:rPr>
          <w:highlight w:val="none"/>
        </w:rPr>
        <w:fldChar w:fldCharType="separate"/>
      </w:r>
      <w:r>
        <w:rPr>
          <w:highlight w:val="none"/>
        </w:rPr>
        <w:t>14</w:t>
      </w:r>
      <w:r>
        <w:rPr>
          <w:highlight w:val="none"/>
        </w:rPr>
        <w:fldChar w:fldCharType="end"/>
      </w:r>
      <w:r>
        <w:rPr>
          <w:highlight w:val="none"/>
        </w:rPr>
        <w:t xml:space="preserve"> 外部信息交互图</w:t>
      </w:r>
    </w:p>
    <w:p w14:paraId="6263E61D">
      <w:pPr>
        <w:pStyle w:val="21"/>
        <w:rPr>
          <w:highlight w:val="none"/>
        </w:rPr>
      </w:pPr>
      <w:r>
        <w:rPr>
          <w:rFonts w:hint="eastAsia"/>
          <w:highlight w:val="none"/>
        </w:rPr>
        <w:t>AI模型数据投毒检测与对抗样本检测子系统面向大模型实时推理业务场景，通过单臂模式部署&amp;实时拦截，协助用户构建多维度安全防护机制，对输入输出内容进行深度安全检测与防护。</w:t>
      </w:r>
    </w:p>
    <w:p w14:paraId="2D7FCD90">
      <w:pPr>
        <w:pStyle w:val="21"/>
        <w:rPr>
          <w:highlight w:val="none"/>
        </w:rPr>
      </w:pPr>
      <w:r>
        <w:rPr>
          <w:highlight w:val="none"/>
        </w:rPr>
        <w:t>AI模型漏洞评估系统与AI大模型系统进行交互</w:t>
      </w:r>
      <w:r>
        <w:rPr>
          <w:rFonts w:hint="eastAsia"/>
          <w:highlight w:val="none"/>
        </w:rPr>
        <w:t>，</w:t>
      </w:r>
      <w:r>
        <w:rPr>
          <w:highlight w:val="none"/>
        </w:rPr>
        <w:t>对模型状态进行监控</w:t>
      </w:r>
      <w:r>
        <w:rPr>
          <w:rFonts w:hint="eastAsia"/>
          <w:highlight w:val="none"/>
        </w:rPr>
        <w:t>：</w:t>
      </w:r>
    </w:p>
    <w:p w14:paraId="1AFDDDCA">
      <w:pPr>
        <w:pStyle w:val="21"/>
        <w:rPr>
          <w:highlight w:val="none"/>
        </w:rPr>
      </w:pPr>
      <w:r>
        <w:rPr>
          <w:rFonts w:hint="eastAsia"/>
          <w:highlight w:val="none"/>
        </w:rPr>
        <w:t>（1）模型服务和模型交互：模型服务注册到系统中，对模型状态进行监控，定期或执行模型任务前对模型状态进行监控请求，根据结果信息判断模型连通性状态。</w:t>
      </w:r>
    </w:p>
    <w:p w14:paraId="18324502">
      <w:pPr>
        <w:pStyle w:val="21"/>
        <w:rPr>
          <w:highlight w:val="none"/>
        </w:rPr>
      </w:pPr>
      <w:r>
        <w:rPr>
          <w:rFonts w:hint="eastAsia"/>
          <w:highlight w:val="none"/>
        </w:rPr>
        <w:t>（2）样本增强任务与模型交互：配置完成增强模板和种子样本，通过大模型调用完成种子样本的变种，并反馈变种结果。</w:t>
      </w:r>
    </w:p>
    <w:p w14:paraId="5B8E2129">
      <w:pPr>
        <w:pStyle w:val="21"/>
        <w:rPr>
          <w:highlight w:val="none"/>
        </w:rPr>
      </w:pPr>
      <w:r>
        <w:rPr>
          <w:rFonts w:hint="eastAsia"/>
          <w:highlight w:val="none"/>
        </w:rPr>
        <w:t>（3）AI大模型安全评测与模型交互：配置完成AI大模型安全评任务中评测样本集、待评测模型、评测基准模型、评测算法和评测指标等信息，对待测模型进行评测请求，获取到评测请求结果进行内容解析，对大模型响应内容组装请求报文请求安全评测基准模型对响应结果安全性进行判定，获取响应结果信息进行解析。</w:t>
      </w:r>
    </w:p>
    <w:p w14:paraId="769B0E03">
      <w:pPr>
        <w:pStyle w:val="21"/>
        <w:rPr>
          <w:highlight w:val="none"/>
        </w:rPr>
      </w:pPr>
      <w:r>
        <w:rPr>
          <w:rFonts w:hint="eastAsia"/>
          <w:highlight w:val="none"/>
        </w:rPr>
        <w:t>通过调用外部模型API接口方式进行评测业务交互。支持HTTP协议标准OPENAI接口和非标准API接口请求调用。</w:t>
      </w:r>
    </w:p>
    <w:p w14:paraId="35758D6A">
      <w:pPr>
        <w:rPr>
          <w:rFonts w:hint="eastAsia"/>
          <w:highlight w:val="none"/>
        </w:rPr>
      </w:pPr>
    </w:p>
    <w:p w14:paraId="79BEECF4">
      <w:pPr>
        <w:pStyle w:val="7"/>
        <w:spacing w:before="0" w:after="0" w:line="360" w:lineRule="auto"/>
        <w:rPr>
          <w:rFonts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rPr>
        <w:t>内部信息关系</w:t>
      </w:r>
    </w:p>
    <w:p w14:paraId="2C95377D">
      <w:pPr>
        <w:pStyle w:val="21"/>
        <w:rPr>
          <w:rFonts w:hint="eastAsia"/>
          <w:highlight w:val="none"/>
        </w:rPr>
      </w:pPr>
      <w:r>
        <w:rPr>
          <w:highlight w:val="none"/>
        </w:rPr>
        <w:t>内部信息关系图</w:t>
      </w:r>
      <w:r>
        <w:rPr>
          <w:rFonts w:hint="eastAsia"/>
          <w:highlight w:val="none"/>
        </w:rPr>
        <w:t>+描述</w:t>
      </w:r>
    </w:p>
    <w:p w14:paraId="737E9125">
      <w:pPr>
        <w:rPr>
          <w:rFonts w:hint="eastAsia"/>
          <w:highlight w:val="none"/>
        </w:rPr>
      </w:pPr>
    </w:p>
    <w:p w14:paraId="5993375E">
      <w:pPr>
        <w:pStyle w:val="6"/>
        <w:spacing w:before="0" w:after="0" w:line="360" w:lineRule="auto"/>
        <w:rPr>
          <w:rFonts w:asciiTheme="minorEastAsia" w:hAnsiTheme="minorEastAsia" w:cstheme="minorEastAsia"/>
          <w:sz w:val="24"/>
          <w:highlight w:val="none"/>
        </w:rPr>
      </w:pPr>
      <w:r>
        <w:rPr>
          <w:rFonts w:hint="eastAsia" w:asciiTheme="minorEastAsia" w:hAnsiTheme="minorEastAsia" w:cstheme="minorEastAsia"/>
          <w:sz w:val="24"/>
          <w:highlight w:val="none"/>
        </w:rPr>
        <w:t>构件设计</w:t>
      </w:r>
    </w:p>
    <w:p w14:paraId="7FC005F5">
      <w:pPr>
        <w:pStyle w:val="7"/>
        <w:spacing w:before="0" w:after="0" w:line="360" w:lineRule="auto"/>
        <w:rPr>
          <w:rFonts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rPr>
        <w:t>XX构件【软件组成的八爪1】</w:t>
      </w:r>
    </w:p>
    <w:p w14:paraId="04B18F07">
      <w:pPr>
        <w:pStyle w:val="8"/>
        <w:spacing w:before="0" w:after="0" w:line="360" w:lineRule="auto"/>
        <w:rPr>
          <w:rFonts w:asciiTheme="minorEastAsia" w:hAnsiTheme="minorEastAsia" w:cstheme="minorEastAsia"/>
          <w:highlight w:val="none"/>
        </w:rPr>
      </w:pPr>
      <w:r>
        <w:rPr>
          <w:rFonts w:hint="eastAsia" w:asciiTheme="minorEastAsia" w:hAnsiTheme="minorEastAsia" w:cstheme="minorEastAsia"/>
          <w:highlight w:val="none"/>
        </w:rPr>
        <w:t>主要功能</w:t>
      </w:r>
    </w:p>
    <w:p w14:paraId="2A0072B4">
      <w:pPr>
        <w:pStyle w:val="21"/>
        <w:rPr>
          <w:highlight w:val="none"/>
        </w:rPr>
      </w:pPr>
      <w:r>
        <w:rPr>
          <w:highlight w:val="none"/>
        </w:rPr>
        <w:t>功能描述….AI模型数据投毒检测包括数据类型投毒检测</w:t>
      </w:r>
      <w:r>
        <w:rPr>
          <w:rFonts w:hint="eastAsia"/>
          <w:highlight w:val="none"/>
        </w:rPr>
        <w:t>、投毒攻击检测、检测算法管理、检测报告生成功能。</w:t>
      </w:r>
    </w:p>
    <w:p w14:paraId="780AE545">
      <w:pPr>
        <w:pStyle w:val="21"/>
        <w:rPr>
          <w:highlight w:val="none"/>
        </w:rPr>
      </w:pPr>
      <w:r>
        <w:rPr>
          <w:highlight w:val="none"/>
        </w:rPr>
        <w:t>….</w:t>
      </w:r>
    </w:p>
    <w:p w14:paraId="72600347">
      <w:pPr>
        <w:pStyle w:val="8"/>
        <w:spacing w:before="0" w:after="0" w:line="360" w:lineRule="auto"/>
        <w:rPr>
          <w:rFonts w:asciiTheme="minorEastAsia" w:hAnsiTheme="minorEastAsia" w:cstheme="minorEastAsia"/>
        </w:rPr>
      </w:pPr>
      <w:r>
        <w:rPr>
          <w:rFonts w:hint="eastAsia" w:asciiTheme="minorEastAsia" w:hAnsiTheme="minorEastAsia" w:cstheme="minorEastAsia"/>
        </w:rPr>
        <w:t>模块设计</w:t>
      </w:r>
    </w:p>
    <w:p w14:paraId="686AA2DE">
      <w:pPr>
        <w:spacing w:line="360" w:lineRule="auto"/>
        <w:ind w:firstLine="480" w:firstLineChars="200"/>
        <w:rPr>
          <w:rFonts w:asciiTheme="minorEastAsia" w:hAnsiTheme="minorEastAsia" w:cstheme="minorEastAsia"/>
          <w:sz w:val="24"/>
        </w:rPr>
      </w:pPr>
      <w:r>
        <w:rPr>
          <w:rFonts w:hint="eastAsia" w:asciiTheme="minorEastAsia" w:hAnsiTheme="minorEastAsia" w:cstheme="minorEastAsia"/>
          <w:sz w:val="24"/>
        </w:rPr>
        <w:t>描述+模块组成八爪图</w:t>
      </w:r>
    </w:p>
    <w:p w14:paraId="320B497F">
      <w:pPr>
        <w:pStyle w:val="21"/>
        <w:jc w:val="center"/>
      </w:pPr>
      <w:r>
        <w:object>
          <v:shape id="_x0000_i1027" o:spt="75" type="#_x0000_t75" style="height:223.55pt;width:207.65pt;" o:ole="t" filled="f" o:preferrelative="t" stroked="f" coordsize="21600,21600">
            <v:path/>
            <v:fill on="f" focussize="0,0"/>
            <v:stroke on="f" joinstyle="miter"/>
            <v:imagedata r:id="rId9" o:title=""/>
            <o:lock v:ext="edit" aspectratio="t"/>
            <w10:wrap type="none"/>
            <w10:anchorlock/>
          </v:shape>
          <o:OLEObject Type="Embed" ProgID="Visio.Drawing.15" ShapeID="_x0000_i1027" DrawAspect="Content" ObjectID="_1468075727" r:id="rId8">
            <o:LockedField>false</o:LockedField>
          </o:OLEObject>
        </w:object>
      </w:r>
    </w:p>
    <w:p w14:paraId="760F688C">
      <w:pPr>
        <w:pStyle w:val="21"/>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14</w:t>
      </w:r>
      <w:r>
        <w:fldChar w:fldCharType="end"/>
      </w:r>
      <w:r>
        <w:t xml:space="preserve"> 模块组成</w:t>
      </w:r>
    </w:p>
    <w:p w14:paraId="28843F03">
      <w:pPr>
        <w:spacing w:line="360" w:lineRule="auto"/>
        <w:ind w:firstLine="480" w:firstLineChars="200"/>
        <w:rPr>
          <w:rFonts w:asciiTheme="minorEastAsia" w:hAnsiTheme="minorEastAsia" w:cstheme="minorEastAsia"/>
          <w:sz w:val="24"/>
        </w:rPr>
      </w:pPr>
    </w:p>
    <w:p w14:paraId="7472128E">
      <w:pPr>
        <w:spacing w:line="360" w:lineRule="auto"/>
        <w:ind w:firstLine="480" w:firstLineChars="200"/>
        <w:rPr>
          <w:rFonts w:hint="eastAsia" w:asciiTheme="minorEastAsia" w:hAnsiTheme="minorEastAsia" w:cstheme="minorEastAsia"/>
          <w:sz w:val="24"/>
        </w:rPr>
      </w:pPr>
    </w:p>
    <w:p w14:paraId="13E16664">
      <w:pPr>
        <w:pStyle w:val="21"/>
      </w:pPr>
      <w:r>
        <w:t>XX模块组成如下图所示</w:t>
      </w:r>
      <w:r>
        <w:rPr>
          <w:rFonts w:hint="eastAsia"/>
        </w:rPr>
        <w:t>：</w:t>
      </w:r>
    </w:p>
    <w:p w14:paraId="5DF70406">
      <w:pPr>
        <w:pStyle w:val="9"/>
        <w:spacing w:before="0" w:after="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XX模块子项</w:t>
      </w:r>
    </w:p>
    <w:p w14:paraId="5F3F90F2">
      <w:pPr>
        <w:pStyle w:val="21"/>
        <w:spacing w:line="400" w:lineRule="exact"/>
        <w:rPr>
          <w:highlight w:val="none"/>
        </w:rPr>
      </w:pPr>
      <w:r>
        <w:rPr>
          <w:rFonts w:hint="eastAsia"/>
          <w:highlight w:val="none"/>
        </w:rPr>
        <w:t>支持AI模型数据投毒检测算法管理。</w:t>
      </w:r>
    </w:p>
    <w:p w14:paraId="24A87AA5">
      <w:pPr>
        <w:pStyle w:val="21"/>
        <w:spacing w:line="400" w:lineRule="exact"/>
        <w:rPr>
          <w:highlight w:val="none"/>
        </w:rPr>
      </w:pPr>
      <w:r>
        <w:rPr>
          <w:highlight w:val="none"/>
        </w:rPr>
        <w:t>1</w:t>
      </w:r>
      <w:r>
        <w:rPr>
          <w:rFonts w:hint="eastAsia"/>
          <w:highlight w:val="none"/>
        </w:rPr>
        <w:t>）文本嵌入与语义建模：</w:t>
      </w:r>
    </w:p>
    <w:p w14:paraId="6E75C08A">
      <w:pPr>
        <w:pStyle w:val="21"/>
        <w:spacing w:line="400" w:lineRule="exact"/>
        <w:rPr>
          <w:highlight w:val="none"/>
        </w:rPr>
      </w:pPr>
      <w:r>
        <w:rPr>
          <w:rFonts w:hint="eastAsia"/>
          <w:highlight w:val="none"/>
        </w:rPr>
        <w:t>模块基于双向编码器表示模型（BERT）、通用文本嵌入模型（GTE）、北京智源通用嵌入模型（BGE）等Transformer结构的语义模型，对输入提示词与响应内容进行向量嵌入，映射至统一的语义空间。借助嵌入表示进行内容相似度计算、语义聚类及风险标签定位。</w:t>
      </w:r>
    </w:p>
    <w:p w14:paraId="36685B9B">
      <w:pPr>
        <w:pStyle w:val="21"/>
        <w:spacing w:line="400" w:lineRule="exact"/>
        <w:rPr>
          <w:highlight w:val="none"/>
        </w:rPr>
      </w:pPr>
      <w:r>
        <w:rPr>
          <w:rFonts w:hint="eastAsia"/>
          <w:highlight w:val="none"/>
        </w:rPr>
        <w:t>2）微调训练与风险语料构建：</w:t>
      </w:r>
    </w:p>
    <w:p w14:paraId="5C8F0B52">
      <w:pPr>
        <w:pStyle w:val="21"/>
        <w:spacing w:line="360" w:lineRule="auto"/>
        <w:ind w:firstLine="0"/>
        <w:jc w:val="center"/>
        <w:rPr>
          <w:highlight w:val="none"/>
        </w:rPr>
      </w:pPr>
      <w:r>
        <w:rPr>
          <w:highlight w:val="none"/>
        </w:rPr>
        <w:object>
          <v:shape id="_x0000_i1028" o:spt="75" type="#_x0000_t75" style="height:371.7pt;width:211pt;" o:ole="t" filled="f" o:preferrelative="t" stroked="f" coordsize="21600,21600">
            <v:path/>
            <v:fill on="f" focussize="0,0"/>
            <v:stroke on="f" joinstyle="miter"/>
            <v:imagedata r:id="rId11" o:title=""/>
            <o:lock v:ext="edit" aspectratio="t"/>
            <w10:wrap type="none"/>
            <w10:anchorlock/>
          </v:shape>
          <o:OLEObject Type="Embed" ProgID="Visio.Drawing.15" ShapeID="_x0000_i1028" DrawAspect="Content" ObjectID="_1468075728" r:id="rId10">
            <o:LockedField>false</o:LockedField>
          </o:OLEObject>
        </w:object>
      </w:r>
    </w:p>
    <w:p w14:paraId="76B22399">
      <w:pPr>
        <w:pStyle w:val="21"/>
        <w:spacing w:line="360" w:lineRule="auto"/>
        <w:ind w:firstLine="0"/>
        <w:jc w:val="center"/>
        <w:rPr>
          <w:highlight w:val="none"/>
        </w:rPr>
      </w:pPr>
      <w:r>
        <w:rPr>
          <w:rFonts w:hint="eastAsia"/>
          <w:highlight w:val="none"/>
        </w:rPr>
        <w:t xml:space="preserve">图 </w:t>
      </w:r>
      <w:r>
        <w:rPr>
          <w:highlight w:val="none"/>
        </w:rPr>
        <w:fldChar w:fldCharType="begin"/>
      </w:r>
      <w:r>
        <w:rPr>
          <w:highlight w:val="none"/>
        </w:rPr>
        <w:instrText xml:space="preserve"> </w:instrText>
      </w:r>
      <w:r>
        <w:rPr>
          <w:rFonts w:hint="eastAsia"/>
          <w:highlight w:val="none"/>
        </w:rPr>
        <w:instrText xml:space="preserve">SEQ 图 \* ARABIC</w:instrText>
      </w:r>
      <w:r>
        <w:rPr>
          <w:highlight w:val="none"/>
        </w:rPr>
        <w:instrText xml:space="preserve"> </w:instrText>
      </w:r>
      <w:r>
        <w:rPr>
          <w:highlight w:val="none"/>
        </w:rPr>
        <w:fldChar w:fldCharType="separate"/>
      </w:r>
      <w:r>
        <w:rPr>
          <w:highlight w:val="none"/>
        </w:rPr>
        <w:t>19</w:t>
      </w:r>
      <w:r>
        <w:rPr>
          <w:highlight w:val="none"/>
        </w:rPr>
        <w:fldChar w:fldCharType="end"/>
      </w:r>
      <w:r>
        <w:rPr>
          <w:highlight w:val="none"/>
        </w:rPr>
        <w:t xml:space="preserve"> XX模块处理流程</w:t>
      </w:r>
    </w:p>
    <w:p w14:paraId="2B0CAA7B">
      <w:pPr>
        <w:pStyle w:val="21"/>
        <w:spacing w:line="400" w:lineRule="exact"/>
        <w:rPr>
          <w:highlight w:val="none"/>
        </w:rPr>
      </w:pPr>
      <w:r>
        <w:rPr>
          <w:rFonts w:hint="eastAsia"/>
          <w:highlight w:val="none"/>
        </w:rPr>
        <w:t>利用积累的高质量攻击提示词、敏感响应语料库，结合具体攻击类型（如提示词注入、敏感引导、违规输出等）进行有监督微调训练，构建多标签分类模型，以实现风险类型识别与分类。</w:t>
      </w:r>
    </w:p>
    <w:p w14:paraId="1FF4FAF1">
      <w:pPr>
        <w:pStyle w:val="21"/>
        <w:spacing w:line="400" w:lineRule="exact"/>
        <w:rPr>
          <w:highlight w:val="none"/>
        </w:rPr>
      </w:pPr>
      <w:r>
        <w:rPr>
          <w:rFonts w:hint="eastAsia"/>
          <w:highlight w:val="none"/>
        </w:rPr>
        <w:t>3）多阶段风险判定流程：</w:t>
      </w:r>
    </w:p>
    <w:p w14:paraId="144BA341">
      <w:pPr>
        <w:pStyle w:val="21"/>
        <w:spacing w:line="360" w:lineRule="auto"/>
        <w:ind w:firstLine="0"/>
        <w:jc w:val="center"/>
        <w:rPr>
          <w:highlight w:val="none"/>
        </w:rPr>
      </w:pPr>
      <w:r>
        <w:rPr>
          <w:highlight w:val="none"/>
        </w:rPr>
        <w:object>
          <v:shape id="_x0000_i1029" o:spt="75" type="#_x0000_t75" style="height:478.9pt;width:354.15pt;" o:ole="t" filled="f" o:preferrelative="t" stroked="f" coordsize="21600,21600">
            <v:path/>
            <v:fill on="f" focussize="0,0"/>
            <v:stroke on="f" joinstyle="miter"/>
            <v:imagedata r:id="rId13" o:title=""/>
            <o:lock v:ext="edit" aspectratio="t"/>
            <w10:wrap type="none"/>
            <w10:anchorlock/>
          </v:shape>
          <o:OLEObject Type="Embed" ProgID="Visio.Drawing.15" ShapeID="_x0000_i1029" DrawAspect="Content" ObjectID="_1468075729" r:id="rId12">
            <o:LockedField>false</o:LockedField>
          </o:OLEObject>
        </w:object>
      </w:r>
    </w:p>
    <w:p w14:paraId="34C2B4D4">
      <w:pPr>
        <w:pStyle w:val="21"/>
        <w:spacing w:line="360" w:lineRule="auto"/>
        <w:ind w:firstLine="0"/>
        <w:jc w:val="center"/>
        <w:rPr>
          <w:highlight w:val="none"/>
        </w:rPr>
      </w:pPr>
      <w:r>
        <w:rPr>
          <w:rFonts w:hint="eastAsia"/>
          <w:highlight w:val="none"/>
        </w:rPr>
        <w:t xml:space="preserve">图 </w:t>
      </w:r>
      <w:r>
        <w:rPr>
          <w:highlight w:val="none"/>
        </w:rPr>
        <w:fldChar w:fldCharType="begin"/>
      </w:r>
      <w:r>
        <w:rPr>
          <w:highlight w:val="none"/>
        </w:rPr>
        <w:instrText xml:space="preserve"> </w:instrText>
      </w:r>
      <w:r>
        <w:rPr>
          <w:rFonts w:hint="eastAsia"/>
          <w:highlight w:val="none"/>
        </w:rPr>
        <w:instrText xml:space="preserve">SEQ 图 \* ARABIC</w:instrText>
      </w:r>
      <w:r>
        <w:rPr>
          <w:highlight w:val="none"/>
        </w:rPr>
        <w:instrText xml:space="preserve"> </w:instrText>
      </w:r>
      <w:r>
        <w:rPr>
          <w:highlight w:val="none"/>
        </w:rPr>
        <w:fldChar w:fldCharType="separate"/>
      </w:r>
      <w:r>
        <w:rPr>
          <w:highlight w:val="none"/>
        </w:rPr>
        <w:t>20</w:t>
      </w:r>
      <w:r>
        <w:rPr>
          <w:highlight w:val="none"/>
        </w:rPr>
        <w:fldChar w:fldCharType="end"/>
      </w:r>
      <w:r>
        <w:rPr>
          <w:highlight w:val="none"/>
        </w:rPr>
        <w:t xml:space="preserve"> 多阶段风险判定流程</w:t>
      </w:r>
    </w:p>
    <w:p w14:paraId="2C9FF60B">
      <w:pPr>
        <w:pStyle w:val="21"/>
        <w:spacing w:line="400" w:lineRule="exact"/>
        <w:rPr>
          <w:highlight w:val="none"/>
        </w:rPr>
      </w:pPr>
      <w:r>
        <w:rPr>
          <w:rFonts w:hint="eastAsia"/>
          <w:highlight w:val="none"/>
        </w:rPr>
        <w:t>输入内容检测（Prompt Side）：判定是否包含操控模型行为的攻击性语句（如指令绕过、上下文干扰）。</w:t>
      </w:r>
    </w:p>
    <w:p w14:paraId="0FAED359">
      <w:pPr>
        <w:pStyle w:val="21"/>
        <w:spacing w:line="400" w:lineRule="exact"/>
        <w:rPr>
          <w:highlight w:val="none"/>
        </w:rPr>
      </w:pPr>
      <w:r>
        <w:rPr>
          <w:rFonts w:hint="eastAsia"/>
          <w:highlight w:val="none"/>
        </w:rPr>
        <w:t>输出内容检测（Response Side）： 判定输出是否含有违法违规、敏感或涉密内容。</w:t>
      </w:r>
    </w:p>
    <w:p w14:paraId="40EEBE85">
      <w:pPr>
        <w:pStyle w:val="21"/>
        <w:spacing w:line="400" w:lineRule="exact"/>
        <w:rPr>
          <w:highlight w:val="none"/>
        </w:rPr>
      </w:pPr>
      <w:r>
        <w:rPr>
          <w:rFonts w:hint="eastAsia"/>
          <w:highlight w:val="none"/>
        </w:rPr>
        <w:t>语义层级匹配与规则校验结合： 融合语义匹配与正则/策略规则，实现多层次防护机制。</w:t>
      </w:r>
    </w:p>
    <w:p w14:paraId="220FCF35">
      <w:pPr>
        <w:pStyle w:val="21"/>
        <w:spacing w:line="400" w:lineRule="exact"/>
        <w:rPr>
          <w:highlight w:val="none"/>
        </w:rPr>
      </w:pPr>
      <w:r>
        <w:rPr>
          <w:highlight w:val="none"/>
        </w:rPr>
        <w:t>4</w:t>
      </w:r>
      <w:r>
        <w:rPr>
          <w:rFonts w:hint="eastAsia"/>
          <w:highlight w:val="none"/>
        </w:rPr>
        <w:t>）模型部署与调用优化：</w:t>
      </w:r>
    </w:p>
    <w:p w14:paraId="538CE464">
      <w:pPr>
        <w:pStyle w:val="21"/>
        <w:spacing w:line="400" w:lineRule="exact"/>
        <w:rPr>
          <w:highlight w:val="none"/>
        </w:rPr>
      </w:pPr>
      <w:r>
        <w:rPr>
          <w:rFonts w:hint="eastAsia"/>
          <w:highlight w:val="none"/>
        </w:rPr>
        <w:t>模块支持本地私有化部署，具备高并发低延迟处理能力，适配GPU/CPU异构环境，确保响应性能。</w:t>
      </w:r>
    </w:p>
    <w:p w14:paraId="2F3BF5D8">
      <w:pPr>
        <w:spacing w:line="360" w:lineRule="auto"/>
        <w:rPr>
          <w:rFonts w:hint="eastAsia" w:asciiTheme="minorEastAsia" w:hAnsiTheme="minorEastAsia" w:cstheme="minorEastAsia"/>
          <w:sz w:val="24"/>
          <w:highlight w:val="none"/>
        </w:rPr>
      </w:pPr>
    </w:p>
    <w:p w14:paraId="1ED0A32F">
      <w:pPr>
        <w:pStyle w:val="9"/>
        <w:spacing w:before="0" w:after="0" w:line="360" w:lineRule="auto"/>
        <w:rPr>
          <w:rFonts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rPr>
        <w:t>XX模块子项</w:t>
      </w:r>
    </w:p>
    <w:p w14:paraId="4510FD45">
      <w:pPr>
        <w:spacing w:line="360" w:lineRule="auto"/>
        <w:rPr>
          <w:highlight w:val="none"/>
        </w:rPr>
      </w:pPr>
      <w:r>
        <w:rPr>
          <w:rFonts w:hint="eastAsia" w:asciiTheme="minorEastAsia" w:hAnsiTheme="minorEastAsia" w:cstheme="minorEastAsia"/>
          <w:sz w:val="24"/>
          <w:highlight w:val="none"/>
        </w:rPr>
        <w:t>模块组成八爪图内容2描述</w:t>
      </w:r>
    </w:p>
    <w:p w14:paraId="37D10693">
      <w:pPr>
        <w:pStyle w:val="8"/>
        <w:spacing w:before="0" w:after="0" w:line="360" w:lineRule="auto"/>
        <w:rPr>
          <w:rFonts w:asciiTheme="minorEastAsia" w:hAnsiTheme="minorEastAsia" w:cstheme="minorEastAsia"/>
          <w:highlight w:val="none"/>
        </w:rPr>
      </w:pPr>
      <w:r>
        <w:rPr>
          <w:rFonts w:hint="eastAsia" w:asciiTheme="minorEastAsia" w:hAnsiTheme="minorEastAsia" w:cstheme="minorEastAsia"/>
          <w:highlight w:val="none"/>
        </w:rPr>
        <w:t>信息关系</w:t>
      </w:r>
    </w:p>
    <w:p w14:paraId="68F60C51">
      <w:pPr>
        <w:pStyle w:val="9"/>
        <w:spacing w:before="0" w:after="0" w:line="360" w:lineRule="auto"/>
        <w:rPr>
          <w:rFonts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rPr>
        <w:t>外部信息关系</w:t>
      </w:r>
    </w:p>
    <w:p w14:paraId="3256B4EC">
      <w:pPr>
        <w:rPr>
          <w:rFonts w:hint="eastAsia"/>
          <w:highlight w:val="none"/>
        </w:rPr>
      </w:pPr>
    </w:p>
    <w:p w14:paraId="4243743D">
      <w:pPr>
        <w:pStyle w:val="9"/>
        <w:spacing w:before="0" w:after="0" w:line="360" w:lineRule="auto"/>
        <w:rPr>
          <w:rFonts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rPr>
        <w:t>内部信息关系</w:t>
      </w:r>
    </w:p>
    <w:p w14:paraId="43678399">
      <w:pPr>
        <w:rPr>
          <w:rFonts w:hint="eastAsia"/>
          <w:highlight w:val="none"/>
        </w:rPr>
      </w:pPr>
    </w:p>
    <w:p w14:paraId="30CF28D2">
      <w:pPr>
        <w:pStyle w:val="8"/>
        <w:spacing w:before="0" w:after="0" w:line="360" w:lineRule="auto"/>
        <w:rPr>
          <w:rFonts w:asciiTheme="minorEastAsia" w:hAnsiTheme="minorEastAsia" w:cstheme="minorEastAsia"/>
          <w:highlight w:val="none"/>
        </w:rPr>
      </w:pPr>
      <w:r>
        <w:rPr>
          <w:rFonts w:hint="eastAsia" w:asciiTheme="minorEastAsia" w:hAnsiTheme="minorEastAsia" w:cstheme="minorEastAsia"/>
          <w:highlight w:val="none"/>
        </w:rPr>
        <w:t>信息处理流程（关键算法流程）</w:t>
      </w:r>
    </w:p>
    <w:p w14:paraId="43D4346B">
      <w:pPr>
        <w:pStyle w:val="21"/>
        <w:ind w:firstLine="0"/>
        <w:jc w:val="center"/>
        <w:rPr>
          <w:highlight w:val="none"/>
        </w:rPr>
      </w:pPr>
      <w:r>
        <w:rPr>
          <w:highlight w:val="none"/>
        </w:rPr>
        <w:object>
          <v:shape id="_x0000_i1030" o:spt="75" type="#_x0000_t75" style="height:591.9pt;width:310.6pt;" o:ole="t" filled="f" o:preferrelative="t" stroked="f" coordsize="21600,21600">
            <v:path/>
            <v:fill on="f" focussize="0,0"/>
            <v:stroke on="f" joinstyle="miter"/>
            <v:imagedata r:id="rId15" o:title=""/>
            <o:lock v:ext="edit" aspectratio="t"/>
            <w10:wrap type="none"/>
            <w10:anchorlock/>
          </v:shape>
          <o:OLEObject Type="Embed" ProgID="Visio.Drawing.15" ShapeID="_x0000_i1030" DrawAspect="Content" ObjectID="_1468075730" r:id="rId14">
            <o:LockedField>false</o:LockedField>
          </o:OLEObject>
        </w:object>
      </w:r>
    </w:p>
    <w:p w14:paraId="3EEBD672">
      <w:pPr>
        <w:pStyle w:val="21"/>
        <w:jc w:val="center"/>
        <w:rPr>
          <w:highlight w:val="none"/>
        </w:rPr>
      </w:pPr>
      <w:r>
        <w:rPr>
          <w:rFonts w:hint="eastAsia" w:ascii="宋体" w:hAnsi="宋体"/>
          <w:szCs w:val="24"/>
          <w:highlight w:val="none"/>
        </w:rPr>
        <w:t xml:space="preserve">图 </w:t>
      </w:r>
      <w:r>
        <w:rPr>
          <w:rFonts w:ascii="宋体" w:hAnsi="宋体"/>
          <w:szCs w:val="24"/>
          <w:highlight w:val="none"/>
        </w:rPr>
        <w:fldChar w:fldCharType="begin"/>
      </w:r>
      <w:r>
        <w:rPr>
          <w:rFonts w:ascii="宋体" w:hAnsi="宋体"/>
          <w:szCs w:val="24"/>
          <w:highlight w:val="none"/>
        </w:rPr>
        <w:instrText xml:space="preserve"> </w:instrText>
      </w:r>
      <w:r>
        <w:rPr>
          <w:rFonts w:hint="eastAsia" w:ascii="宋体" w:hAnsi="宋体"/>
          <w:szCs w:val="24"/>
          <w:highlight w:val="none"/>
        </w:rPr>
        <w:instrText xml:space="preserve">SEQ 图 \* ARABIC</w:instrText>
      </w:r>
      <w:r>
        <w:rPr>
          <w:rFonts w:ascii="宋体" w:hAnsi="宋体"/>
          <w:szCs w:val="24"/>
          <w:highlight w:val="none"/>
        </w:rPr>
        <w:instrText xml:space="preserve"> </w:instrText>
      </w:r>
      <w:r>
        <w:rPr>
          <w:rFonts w:ascii="宋体" w:hAnsi="宋体"/>
          <w:szCs w:val="24"/>
          <w:highlight w:val="none"/>
        </w:rPr>
        <w:fldChar w:fldCharType="separate"/>
      </w:r>
      <w:r>
        <w:rPr>
          <w:rFonts w:ascii="宋体" w:hAnsi="宋体"/>
          <w:szCs w:val="24"/>
          <w:highlight w:val="none"/>
        </w:rPr>
        <w:t>19</w:t>
      </w:r>
      <w:r>
        <w:rPr>
          <w:rFonts w:ascii="宋体" w:hAnsi="宋体"/>
          <w:szCs w:val="24"/>
          <w:highlight w:val="none"/>
        </w:rPr>
        <w:fldChar w:fldCharType="end"/>
      </w:r>
      <w:r>
        <w:rPr>
          <w:rFonts w:ascii="宋体" w:hAnsi="宋体"/>
          <w:szCs w:val="24"/>
          <w:highlight w:val="none"/>
        </w:rPr>
        <w:t xml:space="preserve"> </w:t>
      </w:r>
      <w:r>
        <w:rPr>
          <w:rFonts w:hint="eastAsia" w:ascii="宋体" w:hAnsi="宋体"/>
          <w:szCs w:val="24"/>
          <w:highlight w:val="none"/>
        </w:rPr>
        <w:t>系统漏洞检测流程</w:t>
      </w:r>
      <w:r>
        <w:rPr>
          <w:rFonts w:ascii="宋体" w:hAnsi="宋体"/>
          <w:szCs w:val="24"/>
          <w:highlight w:val="none"/>
        </w:rPr>
        <w:t>图</w:t>
      </w:r>
    </w:p>
    <w:p w14:paraId="788EAAA1">
      <w:pPr>
        <w:pStyle w:val="21"/>
        <w:rPr>
          <w:highlight w:val="none"/>
        </w:rPr>
      </w:pPr>
      <w:r>
        <w:rPr>
          <w:highlight w:val="none"/>
        </w:rPr>
        <w:t>1</w:t>
      </w:r>
      <w:r>
        <w:rPr>
          <w:rFonts w:hint="eastAsia"/>
          <w:highlight w:val="none"/>
        </w:rPr>
        <w:t>）样本集构建</w:t>
      </w:r>
    </w:p>
    <w:p w14:paraId="1434CCD1">
      <w:pPr>
        <w:pStyle w:val="21"/>
        <w:rPr>
          <w:highlight w:val="none"/>
        </w:rPr>
      </w:pPr>
      <w:r>
        <w:rPr>
          <w:rFonts w:hint="eastAsia"/>
          <w:highlight w:val="none"/>
        </w:rPr>
        <w:t>从一或多个样本库中，指定场景、抽取方式（最前/均匀/最后/随机），抽取指定数量的数据，同时可以根据样本有效性（有效/无效/未知）、样本类型（种子/增强）等过滤样本，通过配置场景权重和样本分数，最终形成一套适用于评测任务的样本集。</w:t>
      </w:r>
    </w:p>
    <w:p w14:paraId="48A217CF">
      <w:pPr>
        <w:pStyle w:val="21"/>
        <w:rPr>
          <w:highlight w:val="none"/>
        </w:rPr>
      </w:pPr>
      <w:r>
        <w:rPr>
          <w:rFonts w:hint="eastAsia"/>
          <w:highlight w:val="none"/>
        </w:rPr>
        <w:t>提供从指定的一个或多个样本库中抽取样本，并且可以配置问题有效性、问题类型、所属场景以及抽取方式等规则来抽取样本，从而形成样本集。</w:t>
      </w:r>
    </w:p>
    <w:p w14:paraId="0D784EA6">
      <w:pPr>
        <w:pStyle w:val="21"/>
        <w:rPr>
          <w:highlight w:val="none"/>
        </w:rPr>
      </w:pPr>
      <w:r>
        <w:rPr>
          <w:rFonts w:hint="eastAsia"/>
          <w:highlight w:val="none"/>
        </w:rPr>
        <w:t>提供样本集的新增、修改、删除、列表查看功能</w:t>
      </w:r>
    </w:p>
    <w:p w14:paraId="5B6DDFBD">
      <w:pPr>
        <w:pStyle w:val="21"/>
        <w:rPr>
          <w:highlight w:val="none"/>
        </w:rPr>
      </w:pPr>
      <w:r>
        <w:rPr>
          <w:highlight w:val="none"/>
        </w:rPr>
        <w:t>2</w:t>
      </w:r>
      <w:r>
        <w:rPr>
          <w:rFonts w:hint="eastAsia"/>
          <w:highlight w:val="none"/>
        </w:rPr>
        <w:t>）评测算法构建</w:t>
      </w:r>
    </w:p>
    <w:p w14:paraId="212D40A9">
      <w:pPr>
        <w:pStyle w:val="21"/>
        <w:rPr>
          <w:highlight w:val="none"/>
        </w:rPr>
      </w:pPr>
      <w:r>
        <w:rPr>
          <w:rFonts w:hint="eastAsia"/>
          <w:highlight w:val="none"/>
        </w:rPr>
        <w:t>基于评测任务结果，根据样本分数和场景权重计算最终评测得分。最终评测得分可包括评测总分和各个场景得分。</w:t>
      </w:r>
    </w:p>
    <w:p w14:paraId="6016558E">
      <w:pPr>
        <w:pStyle w:val="21"/>
        <w:rPr>
          <w:highlight w:val="none"/>
        </w:rPr>
      </w:pPr>
      <w:r>
        <w:rPr>
          <w:highlight w:val="none"/>
        </w:rPr>
        <w:t>3</w:t>
      </w:r>
      <w:r>
        <w:rPr>
          <w:rFonts w:hint="eastAsia"/>
          <w:highlight w:val="none"/>
        </w:rPr>
        <w:t>）评测指标构建</w:t>
      </w:r>
    </w:p>
    <w:p w14:paraId="53DD1156">
      <w:pPr>
        <w:pStyle w:val="21"/>
        <w:rPr>
          <w:highlight w:val="none"/>
        </w:rPr>
      </w:pPr>
      <w:r>
        <w:rPr>
          <w:rFonts w:hint="eastAsia"/>
          <w:highlight w:val="none"/>
        </w:rPr>
        <w:t>基于评测算法，制定一套评测指标，用于评估每次的评测任务是否达标。</w:t>
      </w:r>
    </w:p>
    <w:p w14:paraId="62EEE788">
      <w:pPr>
        <w:pStyle w:val="21"/>
        <w:rPr>
          <w:highlight w:val="none"/>
        </w:rPr>
      </w:pPr>
      <w:r>
        <w:rPr>
          <w:rFonts w:hint="eastAsia"/>
          <w:highlight w:val="none"/>
        </w:rPr>
        <w:t>支持指定评测的总分阈值，支持指定一个或多个场景的分数阈值。</w:t>
      </w:r>
    </w:p>
    <w:p w14:paraId="02353DB4">
      <w:pPr>
        <w:pStyle w:val="21"/>
        <w:rPr>
          <w:highlight w:val="none"/>
        </w:rPr>
      </w:pPr>
      <w:r>
        <w:rPr>
          <w:rFonts w:hint="eastAsia"/>
          <w:highlight w:val="none"/>
        </w:rPr>
        <w:t>提供评测指标的新增、修改、删除、列表查看功能。</w:t>
      </w:r>
    </w:p>
    <w:p w14:paraId="4F8CC814">
      <w:pPr>
        <w:pStyle w:val="21"/>
        <w:rPr>
          <w:highlight w:val="none"/>
        </w:rPr>
      </w:pPr>
      <w:r>
        <w:rPr>
          <w:highlight w:val="none"/>
        </w:rPr>
        <w:t>4</w:t>
      </w:r>
      <w:r>
        <w:rPr>
          <w:rFonts w:hint="eastAsia"/>
          <w:highlight w:val="none"/>
        </w:rPr>
        <w:t>）评测任务：</w:t>
      </w:r>
    </w:p>
    <w:p w14:paraId="66E48F1E">
      <w:pPr>
        <w:pStyle w:val="21"/>
        <w:rPr>
          <w:highlight w:val="none"/>
        </w:rPr>
      </w:pPr>
      <w:r>
        <w:rPr>
          <w:rFonts w:hint="eastAsia"/>
          <w:highlight w:val="none"/>
        </w:rPr>
        <w:t>通过一或多个安全评测基准模型，基于指定的安全评测样本集，实现对待评测模型的多维度自动化评估。评估维度包括20余种，对待评测模型的生成内容进行了综合安全性评估。</w:t>
      </w:r>
    </w:p>
    <w:p w14:paraId="6953594C">
      <w:pPr>
        <w:pStyle w:val="21"/>
        <w:rPr>
          <w:highlight w:val="none"/>
        </w:rPr>
      </w:pPr>
      <w:r>
        <w:rPr>
          <w:rFonts w:hint="eastAsia"/>
          <w:highlight w:val="none"/>
        </w:rPr>
        <w:t>提供安全评测任务的启动停止功能。</w:t>
      </w:r>
    </w:p>
    <w:p w14:paraId="3D95ABED">
      <w:pPr>
        <w:pStyle w:val="21"/>
        <w:rPr>
          <w:highlight w:val="none"/>
        </w:rPr>
      </w:pPr>
      <w:r>
        <w:rPr>
          <w:rFonts w:hint="eastAsia"/>
          <w:highlight w:val="none"/>
        </w:rPr>
        <w:t>提供安全评测任务的运行状态监测功能，并且实时展示任务的处理进度和评测任务总分。</w:t>
      </w:r>
    </w:p>
    <w:p w14:paraId="31F16B7B">
      <w:pPr>
        <w:pStyle w:val="21"/>
        <w:rPr>
          <w:highlight w:val="none"/>
        </w:rPr>
      </w:pPr>
      <w:r>
        <w:rPr>
          <w:rFonts w:hint="eastAsia"/>
          <w:highlight w:val="none"/>
        </w:rPr>
        <w:t>提供安全评测详情页的查看功能，以图表等多种形式实时地展示了评测结果，包括评测任务的当前进度、当前得分、评测的样本场景分布以及评测结果分布等。同时，实时展示了已处理样本的得分和模型回答。</w:t>
      </w:r>
    </w:p>
    <w:p w14:paraId="15B512FF">
      <w:pPr>
        <w:pStyle w:val="21"/>
        <w:rPr>
          <w:highlight w:val="none"/>
        </w:rPr>
      </w:pPr>
      <w:r>
        <w:rPr>
          <w:rFonts w:hint="eastAsia"/>
          <w:highlight w:val="none"/>
        </w:rPr>
        <w:t>提供安全评测任务的新增、修改、删除、列表查看功能。</w:t>
      </w:r>
    </w:p>
    <w:p w14:paraId="7029817A">
      <w:pPr>
        <w:rPr>
          <w:rFonts w:hint="eastAsia"/>
          <w:highlight w:val="none"/>
        </w:rPr>
      </w:pPr>
    </w:p>
    <w:p w14:paraId="165DBFE8">
      <w:pPr>
        <w:pStyle w:val="6"/>
        <w:spacing w:before="0" w:after="0" w:line="360" w:lineRule="auto"/>
        <w:rPr>
          <w:rFonts w:asciiTheme="minorEastAsia" w:hAnsiTheme="minorEastAsia" w:cstheme="minorEastAsia"/>
          <w:sz w:val="24"/>
          <w:highlight w:val="none"/>
        </w:rPr>
      </w:pPr>
      <w:r>
        <w:rPr>
          <w:rFonts w:hint="eastAsia" w:asciiTheme="minorEastAsia" w:hAnsiTheme="minorEastAsia" w:cstheme="minorEastAsia"/>
          <w:sz w:val="24"/>
          <w:highlight w:val="none"/>
        </w:rPr>
        <w:t>性能指标设计</w:t>
      </w:r>
    </w:p>
    <w:p w14:paraId="2597E2ED">
      <w:pPr>
        <w:pStyle w:val="7"/>
        <w:rPr>
          <w:rFonts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rPr>
        <w:t>指标1</w:t>
      </w:r>
      <w:bookmarkStart w:id="0" w:name="_GoBack"/>
      <w:bookmarkEnd w:id="0"/>
    </w:p>
    <w:p w14:paraId="4EE9680D">
      <w:pPr>
        <w:pStyle w:val="8"/>
        <w:rPr>
          <w:rFonts w:asciiTheme="minorEastAsia" w:hAnsiTheme="minorEastAsia" w:cstheme="minorEastAsia"/>
          <w:highlight w:val="none"/>
        </w:rPr>
      </w:pPr>
      <w:r>
        <w:rPr>
          <w:rFonts w:hint="eastAsia" w:asciiTheme="minorEastAsia" w:hAnsiTheme="minorEastAsia" w:cstheme="minorEastAsia"/>
          <w:highlight w:val="none"/>
        </w:rPr>
        <w:t>指标要求</w:t>
      </w:r>
    </w:p>
    <w:p w14:paraId="6B499F46">
      <w:pPr>
        <w:pStyle w:val="8"/>
        <w:rPr>
          <w:rFonts w:asciiTheme="minorEastAsia" w:hAnsiTheme="minorEastAsia" w:cstheme="minorEastAsia"/>
          <w:highlight w:val="none"/>
        </w:rPr>
      </w:pPr>
      <w:r>
        <w:rPr>
          <w:rFonts w:hint="eastAsia" w:asciiTheme="minorEastAsia" w:hAnsiTheme="minorEastAsia" w:cstheme="minorEastAsia"/>
          <w:highlight w:val="none"/>
        </w:rPr>
        <w:t>指标设计</w:t>
      </w:r>
    </w:p>
    <w:p w14:paraId="0270377F">
      <w:pPr>
        <w:rPr>
          <w:highlight w:val="none"/>
        </w:rPr>
      </w:pPr>
    </w:p>
    <w:p w14:paraId="260DA861">
      <w:pPr>
        <w:pStyle w:val="5"/>
        <w:spacing w:before="0" w:after="0" w:line="360" w:lineRule="auto"/>
        <w:rPr>
          <w:rFonts w:asciiTheme="minorEastAsia" w:hAnsiTheme="minorEastAsia" w:eastAsiaTheme="minorEastAsia" w:cstheme="minorEastAsia"/>
          <w:sz w:val="24"/>
          <w:highlight w:val="none"/>
        </w:rPr>
      </w:pPr>
      <w:r>
        <w:rPr>
          <w:rFonts w:asciiTheme="minorEastAsia" w:hAnsiTheme="minorEastAsia" w:eastAsiaTheme="minorEastAsia" w:cstheme="minorEastAsia"/>
          <w:sz w:val="24"/>
          <w:highlight w:val="none"/>
        </w:rPr>
        <w:t>AI模型</w:t>
      </w:r>
      <w:r>
        <w:rPr>
          <w:rFonts w:hint="eastAsia" w:asciiTheme="minorEastAsia" w:hAnsiTheme="minorEastAsia" w:eastAsiaTheme="minorEastAsia" w:cstheme="minorEastAsia"/>
          <w:sz w:val="24"/>
          <w:highlight w:val="none"/>
        </w:rPr>
        <w:t>对抗样本检测子系统</w:t>
      </w:r>
    </w:p>
    <w:p w14:paraId="75014F47">
      <w:pPr>
        <w:rPr>
          <w:highlight w:val="none"/>
        </w:rPr>
      </w:pPr>
    </w:p>
    <w:p w14:paraId="4E4B56EB">
      <w:pPr>
        <w:rPr>
          <w:highlight w:val="none"/>
        </w:rPr>
      </w:pPr>
    </w:p>
    <w:p w14:paraId="3B526697">
      <w:pPr>
        <w:pStyle w:val="5"/>
        <w:spacing w:before="0" w:after="0" w:line="360" w:lineRule="auto"/>
        <w:rPr>
          <w:rFonts w:asciiTheme="minorEastAsia" w:hAnsiTheme="minorEastAsia" w:eastAsiaTheme="minorEastAsia" w:cstheme="minorEastAsia"/>
          <w:sz w:val="24"/>
          <w:highlight w:val="none"/>
        </w:rPr>
      </w:pPr>
      <w:r>
        <w:rPr>
          <w:rFonts w:asciiTheme="minorEastAsia" w:hAnsiTheme="minorEastAsia" w:eastAsiaTheme="minorEastAsia" w:cstheme="minorEastAsia"/>
          <w:sz w:val="24"/>
          <w:highlight w:val="none"/>
        </w:rPr>
        <w:t>AI模型</w:t>
      </w:r>
      <w:r>
        <w:rPr>
          <w:rFonts w:hint="eastAsia" w:asciiTheme="minorEastAsia" w:hAnsiTheme="minorEastAsia" w:eastAsiaTheme="minorEastAsia" w:cstheme="minorEastAsia"/>
          <w:sz w:val="24"/>
          <w:highlight w:val="none"/>
        </w:rPr>
        <w:t>漏洞评估子系统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C1241F"/>
    <w:multiLevelType w:val="multilevel"/>
    <w:tmpl w:val="E3C1241F"/>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YxY2IwYmIwYmNmMGUxY2FjYjBhOTUzY2M4YWFhZmUifQ=="/>
  </w:docVars>
  <w:rsids>
    <w:rsidRoot w:val="00D71D24"/>
    <w:rsid w:val="00071FA9"/>
    <w:rsid w:val="00205919"/>
    <w:rsid w:val="002265EE"/>
    <w:rsid w:val="002D4A75"/>
    <w:rsid w:val="00484519"/>
    <w:rsid w:val="004B6AD7"/>
    <w:rsid w:val="00544B81"/>
    <w:rsid w:val="007374A6"/>
    <w:rsid w:val="00902DE6"/>
    <w:rsid w:val="00917726"/>
    <w:rsid w:val="009674AE"/>
    <w:rsid w:val="009A038B"/>
    <w:rsid w:val="009A1CC9"/>
    <w:rsid w:val="009F6058"/>
    <w:rsid w:val="00BF0013"/>
    <w:rsid w:val="00D71D24"/>
    <w:rsid w:val="00FE4CEE"/>
    <w:rsid w:val="16B97B76"/>
    <w:rsid w:val="18B312C8"/>
    <w:rsid w:val="2AA562D0"/>
    <w:rsid w:val="2EFF699B"/>
    <w:rsid w:val="590431BD"/>
    <w:rsid w:val="6522491C"/>
    <w:rsid w:val="7E144D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9"/>
    <w:pPr>
      <w:keepNext/>
      <w:keepLines/>
      <w:numPr>
        <w:ilvl w:val="3"/>
        <w:numId w:val="1"/>
      </w:numPr>
      <w:spacing w:before="280" w:after="290" w:line="372" w:lineRule="auto"/>
      <w:outlineLvl w:val="3"/>
    </w:pPr>
    <w:rPr>
      <w:rFonts w:ascii="Arial" w:hAnsi="Arial" w:eastAsia="黑体"/>
      <w:b/>
      <w:sz w:val="28"/>
    </w:rPr>
  </w:style>
  <w:style w:type="paragraph" w:styleId="6">
    <w:name w:val="heading 5"/>
    <w:basedOn w:val="1"/>
    <w:next w:val="1"/>
    <w:unhideWhenUsed/>
    <w:qFormat/>
    <w:uiPriority w:val="9"/>
    <w:pPr>
      <w:keepNext/>
      <w:keepLines/>
      <w:numPr>
        <w:ilvl w:val="4"/>
        <w:numId w:val="1"/>
      </w:numPr>
      <w:spacing w:before="280" w:after="290" w:line="372" w:lineRule="auto"/>
      <w:outlineLvl w:val="4"/>
    </w:pPr>
    <w:rPr>
      <w:b/>
      <w:sz w:val="28"/>
    </w:rPr>
  </w:style>
  <w:style w:type="paragraph" w:styleId="7">
    <w:name w:val="heading 6"/>
    <w:basedOn w:val="1"/>
    <w:next w:val="1"/>
    <w:unhideWhenUsed/>
    <w:qFormat/>
    <w:uiPriority w:val="9"/>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unhideWhenUsed/>
    <w:qFormat/>
    <w:uiPriority w:val="9"/>
    <w:pPr>
      <w:keepNext/>
      <w:keepLines/>
      <w:numPr>
        <w:ilvl w:val="6"/>
        <w:numId w:val="1"/>
      </w:numPr>
      <w:spacing w:before="240" w:after="64" w:line="317" w:lineRule="auto"/>
      <w:outlineLvl w:val="6"/>
    </w:pPr>
    <w:rPr>
      <w:b/>
      <w:sz w:val="24"/>
    </w:rPr>
  </w:style>
  <w:style w:type="paragraph" w:styleId="9">
    <w:name w:val="heading 8"/>
    <w:basedOn w:val="1"/>
    <w:next w:val="1"/>
    <w:unhideWhenUsed/>
    <w:qFormat/>
    <w:uiPriority w:val="9"/>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unhideWhenUsed/>
    <w:qFormat/>
    <w:uiPriority w:val="9"/>
    <w:pPr>
      <w:keepNext/>
      <w:keepLines/>
      <w:numPr>
        <w:ilvl w:val="8"/>
        <w:numId w:val="1"/>
      </w:numPr>
      <w:spacing w:before="240" w:after="64" w:line="317" w:lineRule="auto"/>
      <w:outlineLvl w:val="8"/>
    </w:pPr>
    <w:rPr>
      <w:rFonts w:ascii="Arial" w:hAnsi="Arial" w:eastAsia="黑体"/>
    </w:rPr>
  </w:style>
  <w:style w:type="character" w:default="1" w:styleId="17">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23"/>
    <w:qFormat/>
    <w:uiPriority w:val="0"/>
    <w:pPr>
      <w:jc w:val="left"/>
    </w:pPr>
  </w:style>
  <w:style w:type="paragraph" w:styleId="12">
    <w:name w:val="Balloon Text"/>
    <w:basedOn w:val="1"/>
    <w:link w:val="25"/>
    <w:qFormat/>
    <w:uiPriority w:val="0"/>
    <w:rPr>
      <w:sz w:val="18"/>
      <w:szCs w:val="18"/>
    </w:rPr>
  </w:style>
  <w:style w:type="paragraph" w:styleId="13">
    <w:name w:val="footer"/>
    <w:basedOn w:val="1"/>
    <w:link w:val="20"/>
    <w:qFormat/>
    <w:uiPriority w:val="0"/>
    <w:pPr>
      <w:tabs>
        <w:tab w:val="center" w:pos="4153"/>
        <w:tab w:val="right" w:pos="8306"/>
      </w:tabs>
      <w:snapToGrid w:val="0"/>
      <w:jc w:val="left"/>
    </w:pPr>
    <w:rPr>
      <w:sz w:val="18"/>
      <w:szCs w:val="18"/>
    </w:rPr>
  </w:style>
  <w:style w:type="paragraph" w:styleId="14">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15">
    <w:name w:val="annotation subject"/>
    <w:basedOn w:val="11"/>
    <w:next w:val="11"/>
    <w:link w:val="24"/>
    <w:qFormat/>
    <w:uiPriority w:val="0"/>
    <w:rPr>
      <w:b/>
      <w:bCs/>
    </w:rPr>
  </w:style>
  <w:style w:type="character" w:styleId="18">
    <w:name w:val="annotation reference"/>
    <w:basedOn w:val="17"/>
    <w:qFormat/>
    <w:uiPriority w:val="0"/>
    <w:rPr>
      <w:sz w:val="21"/>
      <w:szCs w:val="21"/>
    </w:rPr>
  </w:style>
  <w:style w:type="character" w:customStyle="1" w:styleId="19">
    <w:name w:val="页眉 Char"/>
    <w:basedOn w:val="17"/>
    <w:link w:val="14"/>
    <w:qFormat/>
    <w:uiPriority w:val="0"/>
    <w:rPr>
      <w:kern w:val="2"/>
      <w:sz w:val="18"/>
      <w:szCs w:val="18"/>
    </w:rPr>
  </w:style>
  <w:style w:type="character" w:customStyle="1" w:styleId="20">
    <w:name w:val="页脚 Char"/>
    <w:basedOn w:val="17"/>
    <w:link w:val="13"/>
    <w:qFormat/>
    <w:uiPriority w:val="0"/>
    <w:rPr>
      <w:kern w:val="2"/>
      <w:sz w:val="18"/>
      <w:szCs w:val="18"/>
    </w:rPr>
  </w:style>
  <w:style w:type="paragraph" w:customStyle="1" w:styleId="21">
    <w:name w:val="正文格式"/>
    <w:basedOn w:val="1"/>
    <w:link w:val="22"/>
    <w:qFormat/>
    <w:uiPriority w:val="0"/>
    <w:pPr>
      <w:widowControl/>
      <w:adjustRightInd w:val="0"/>
      <w:snapToGrid w:val="0"/>
      <w:spacing w:line="400" w:lineRule="atLeast"/>
      <w:ind w:firstLine="482"/>
      <w:textAlignment w:val="baseline"/>
    </w:pPr>
    <w:rPr>
      <w:rFonts w:ascii="Times New Roman" w:hAnsi="Times New Roman" w:eastAsia="宋体" w:cs="Times New Roman"/>
      <w:kern w:val="0"/>
      <w:sz w:val="24"/>
      <w:szCs w:val="20"/>
    </w:rPr>
  </w:style>
  <w:style w:type="character" w:customStyle="1" w:styleId="22">
    <w:name w:val="正文格式 Char"/>
    <w:link w:val="21"/>
    <w:qFormat/>
    <w:uiPriority w:val="0"/>
    <w:rPr>
      <w:rFonts w:ascii="Times New Roman" w:hAnsi="Times New Roman" w:eastAsia="宋体" w:cs="Times New Roman"/>
      <w:sz w:val="24"/>
    </w:rPr>
  </w:style>
  <w:style w:type="character" w:customStyle="1" w:styleId="23">
    <w:name w:val="批注文字 Char"/>
    <w:basedOn w:val="17"/>
    <w:link w:val="11"/>
    <w:qFormat/>
    <w:uiPriority w:val="0"/>
    <w:rPr>
      <w:kern w:val="2"/>
      <w:sz w:val="21"/>
      <w:szCs w:val="24"/>
    </w:rPr>
  </w:style>
  <w:style w:type="character" w:customStyle="1" w:styleId="24">
    <w:name w:val="批注主题 Char"/>
    <w:basedOn w:val="23"/>
    <w:link w:val="15"/>
    <w:qFormat/>
    <w:uiPriority w:val="0"/>
    <w:rPr>
      <w:b/>
      <w:bCs/>
      <w:kern w:val="2"/>
      <w:sz w:val="21"/>
      <w:szCs w:val="24"/>
    </w:rPr>
  </w:style>
  <w:style w:type="character" w:customStyle="1" w:styleId="25">
    <w:name w:val="批注框文本 Char"/>
    <w:basedOn w:val="17"/>
    <w:link w:val="12"/>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package" Target="embeddings/Microsoft_Visio___3.vsdx"/><Relationship Id="rId7" Type="http://schemas.openxmlformats.org/officeDocument/2006/relationships/image" Target="media/image2.emf"/><Relationship Id="rId6" Type="http://schemas.openxmlformats.org/officeDocument/2006/relationships/package" Target="embeddings/Microsoft_Visio___2.vsdx"/><Relationship Id="rId5" Type="http://schemas.openxmlformats.org/officeDocument/2006/relationships/image" Target="media/image1.emf"/><Relationship Id="rId4" Type="http://schemas.openxmlformats.org/officeDocument/2006/relationships/package" Target="embeddings/Microsoft_Visio___1.vsdx"/><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6.emf"/><Relationship Id="rId14" Type="http://schemas.openxmlformats.org/officeDocument/2006/relationships/package" Target="embeddings/Microsoft_Visio___6.vsdx"/><Relationship Id="rId13" Type="http://schemas.openxmlformats.org/officeDocument/2006/relationships/image" Target="media/image5.emf"/><Relationship Id="rId12" Type="http://schemas.openxmlformats.org/officeDocument/2006/relationships/package" Target="embeddings/Microsoft_Visio___5.vsdx"/><Relationship Id="rId11" Type="http://schemas.openxmlformats.org/officeDocument/2006/relationships/image" Target="media/image4.emf"/><Relationship Id="rId10" Type="http://schemas.openxmlformats.org/officeDocument/2006/relationships/package" Target="embeddings/Microsoft_Visio___4.vsdx"/><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801</Words>
  <Characters>852</Characters>
  <Lines>16</Lines>
  <Paragraphs>4</Paragraphs>
  <TotalTime>18</TotalTime>
  <ScaleCrop>false</ScaleCrop>
  <LinksUpToDate>false</LinksUpToDate>
  <CharactersWithSpaces>858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2026-01-22T12:22:00Z</dcterms:created>
  <dc:creator>user</dc:creator>
  <cp:lastModifiedBy>付海涛</cp:lastModifiedBy>
  <dcterms:modified xsi:type="dcterms:W3CDTF">2026-01-28T05:44:26Z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034CAEC373FE49C0BFCDC04F4F3E9FBE_12</vt:lpwstr>
  </property>
  <property fmtid="{D5CDD505-2E9C-101B-9397-08002B2CF9AE}" pid="4" name="KSOTemplateDocerSaveRecord">
    <vt:lpwstr>eyJoZGlkIjoiYzk1NDA3YmZmNjZkZDg1Nzg1MzE3NjdmOThhMDlkNDAiLCJ1c2VySWQiOiI3MzI5MjEyNjEifQ==</vt:lpwstr>
  </property>
</Properties>
</file>