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Boletín</w:t>
      </w:r>
      <w:r>
        <w:t xml:space="preserve"> </w:t>
      </w:r>
      <w:r>
        <w:t xml:space="preserve">mensual:</w:t>
      </w:r>
      <w:r>
        <w:t xml:space="preserve"> </w:t>
      </w:r>
      <w:r>
        <w:t xml:space="preserve">Evolución</w:t>
      </w:r>
      <w:r>
        <w:t xml:space="preserve"> </w:t>
      </w:r>
      <w:r>
        <w:t xml:space="preserve">de</w:t>
      </w:r>
      <w:r>
        <w:t xml:space="preserve"> </w:t>
      </w:r>
      <w:r>
        <w:t xml:space="preserve">las</w:t>
      </w:r>
      <w:r>
        <w:t xml:space="preserve"> </w:t>
      </w:r>
      <w:r>
        <w:t xml:space="preserve">cotizaciones</w:t>
      </w:r>
      <w:r>
        <w:t xml:space="preserve"> </w:t>
      </w:r>
      <w:r>
        <w:t xml:space="preserve">al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Protección</w:t>
      </w:r>
      <w:r>
        <w:t xml:space="preserve"> </w:t>
      </w:r>
      <w:r>
        <w:t xml:space="preserve">Social</w:t>
      </w:r>
      <w:r>
        <w:t xml:space="preserve"> </w:t>
      </w:r>
      <w:r>
        <w:t xml:space="preserve">Junio</w:t>
      </w:r>
      <w:r>
        <w:t xml:space="preserve"> </w:t>
      </w:r>
      <w:r>
        <w:t xml:space="preserve">2021</w:t>
      </w:r>
    </w:p>
    <w:p>
      <w:pPr>
        <w:pStyle w:val="Author"/>
      </w:pPr>
      <w:r>
        <w:t xml:space="preserve">Unidad</w:t>
      </w:r>
      <w:r>
        <w:t xml:space="preserve"> </w:t>
      </w:r>
      <w:r>
        <w:t xml:space="preserve">de</w:t>
      </w:r>
      <w:r>
        <w:t xml:space="preserve"> </w:t>
      </w:r>
      <w:r>
        <w:t xml:space="preserve">Gestión</w:t>
      </w:r>
      <w:r>
        <w:t xml:space="preserve"> </w:t>
      </w:r>
      <w:r>
        <w:t xml:space="preserve">Pensional</w:t>
      </w:r>
      <w:r>
        <w:t xml:space="preserve"> </w:t>
      </w:r>
      <w:r>
        <w:t xml:space="preserve">y</w:t>
      </w:r>
      <w:r>
        <w:t xml:space="preserve"> </w:t>
      </w:r>
      <w:r>
        <w:t xml:space="preserve">Parafiscales</w:t>
      </w:r>
      <w:r>
        <w:t xml:space="preserve"> </w:t>
      </w:r>
      <w:r>
        <w:t xml:space="preserve">-</w:t>
      </w:r>
      <w:r>
        <w:t xml:space="preserve"> </w:t>
      </w:r>
      <w:r>
        <w:t xml:space="preserve">UGPP</w:t>
      </w:r>
    </w:p>
    <w:p>
      <w:pPr>
        <w:pStyle w:val="Date"/>
      </w:pPr>
      <w:r>
        <w:t xml:space="preserve">Periodo</w:t>
      </w:r>
      <w:r>
        <w:t xml:space="preserve"> </w:t>
      </w:r>
      <w:r>
        <w:t xml:space="preserve">-</w:t>
      </w:r>
      <w:r>
        <w:t xml:space="preserve"> </w:t>
      </w:r>
      <w:r>
        <w:t xml:space="preserve">Junio</w:t>
      </w:r>
      <w:r>
        <w:t xml:space="preserve"> </w:t>
      </w:r>
      <w:r>
        <w:t xml:space="preserve">de</w:t>
      </w:r>
      <w:r>
        <w:t xml:space="preserve"> </w:t>
      </w:r>
      <w:r>
        <w:t xml:space="preserve">2021</w:t>
      </w:r>
    </w:p>
    <w:bookmarkStart w:id="21" w:name="introducción"/>
    <w:p>
      <w:pPr>
        <w:pStyle w:val="Heading1"/>
      </w:pPr>
      <w:r>
        <w:t xml:space="preserve">Introducción</w:t>
      </w:r>
    </w:p>
    <w:p>
      <w:pPr>
        <w:pStyle w:val="FirstParagraph"/>
      </w:pPr>
      <w:r>
        <w:t xml:space="preserve">El Sistema de Protección Social (SPS) busca garantizar un nivel básico en la calidad de vida de</w:t>
      </w:r>
      <w:r>
        <w:t xml:space="preserve"> </w:t>
      </w:r>
      <w:r>
        <w:t xml:space="preserve">los colombianos, a través de la cobertura universal en salud y el aseguramiento de los riesgos de</w:t>
      </w:r>
      <w:r>
        <w:t xml:space="preserve"> </w:t>
      </w:r>
      <w:r>
        <w:t xml:space="preserve">invalidez, vejez y muerte.</w:t>
      </w:r>
      <w:r>
        <w:t xml:space="preserve"> </w:t>
      </w:r>
      <w:r>
        <w:t xml:space="preserve">La información que se genera a partir de las cotizaciones al SPS, analizada en el contexto económico,</w:t>
      </w:r>
      <w:r>
        <w:t xml:space="preserve"> </w:t>
      </w:r>
      <w:r>
        <w:t xml:space="preserve">social, demográfico y geográfico, constituye un insumo fundamental para la toma de decisiones de</w:t>
      </w:r>
      <w:r>
        <w:t xml:space="preserve"> </w:t>
      </w:r>
      <w:r>
        <w:t xml:space="preserve">política pública, especialmente en tiempos de crisis, cuando la celeridad y capacidad de focalización</w:t>
      </w:r>
      <w:r>
        <w:t xml:space="preserve"> </w:t>
      </w:r>
      <w:r>
        <w:t xml:space="preserve">son fundamentales para suavizar los efectos negativos de una coyuntura como la actual.</w:t>
      </w:r>
      <w:r>
        <w:t xml:space="preserve"> </w:t>
      </w:r>
      <w:r>
        <w:t xml:space="preserve">Este boletín proporciona un conjunto de estadísticas a partir de la información de cotizaciones al</w:t>
      </w:r>
      <w:r>
        <w:t xml:space="preserve"> </w:t>
      </w:r>
      <w:r>
        <w:t xml:space="preserve">SPS registradas en la Planilla Integrada de Liquidación de Aportes PILA, correspondientes a</w:t>
      </w:r>
      <w:r>
        <w:t xml:space="preserve"> </w:t>
      </w:r>
      <w:r>
        <w:t xml:space="preserve">las cotizaciones y relaciones laborales del mes de junio de 2021.</w:t>
      </w:r>
      <w:r>
        <w:t xml:space="preserve"> </w:t>
      </w:r>
      <w:r>
        <w:t xml:space="preserve">Para ello se toman los datos reportados por el Ministerio de Salud y Protección Social, con corte al</w:t>
      </w:r>
      <w:r>
        <w:t xml:space="preserve"> </w:t>
      </w:r>
      <w:r>
        <w:t xml:space="preserve">13 de agosto de 2021, y todos los tipos de cotizantes, excepto, cotizantes de Carrera Diplomática,</w:t>
      </w:r>
      <w:r>
        <w:t xml:space="preserve"> </w:t>
      </w:r>
      <w:r>
        <w:t xml:space="preserve">o Consular, o Funcionario de Organismo Multilateral (32), beneficiario del Fondo de Solidaridad</w:t>
      </w:r>
      <w:r>
        <w:t xml:space="preserve"> </w:t>
      </w:r>
      <w:r>
        <w:t xml:space="preserve">Pensional (33), beneficiario UPC Adicional (40), Cotizante independiente pago solo salud (42),</w:t>
      </w:r>
      <w:r>
        <w:t xml:space="preserve"> </w:t>
      </w:r>
      <w:r>
        <w:t xml:space="preserve">Cotizante a pensiones con pago por tercero (43), cotizante dependiente de empleo de emergencia</w:t>
      </w:r>
      <w:r>
        <w:t xml:space="preserve"> </w:t>
      </w:r>
      <w:r>
        <w:t xml:space="preserve">con duración mayor o igual a un mes (44), cotizante dependiente de empleo de emergencia con</w:t>
      </w:r>
      <w:r>
        <w:t xml:space="preserve"> </w:t>
      </w:r>
      <w:r>
        <w:t xml:space="preserve">duración menor a un mes (45), trabajador dependiente de entidad beneficiaria del sistema general</w:t>
      </w:r>
      <w:r>
        <w:t xml:space="preserve"> </w:t>
      </w:r>
      <w:r>
        <w:t xml:space="preserve">de participaciones - Aportes Patronales (47) y prepensionado con aporte voluntario en salud (56),</w:t>
      </w:r>
      <w:r>
        <w:t xml:space="preserve"> </w:t>
      </w:r>
      <w:r>
        <w:t xml:space="preserve">porque se considera que no son ni cotizantes independientes ni dependientes.</w:t>
      </w:r>
      <w:r>
        <w:t xml:space="preserve"> </w:t>
      </w:r>
      <w:r>
        <w:t xml:space="preserve">Para comparar la evolución de los cotizantes mes a mes, se construyó un año típico que refleja la</w:t>
      </w:r>
      <w:r>
        <w:t xml:space="preserve"> </w:t>
      </w:r>
      <w:r>
        <w:t xml:space="preserve">estacionalidad y la tendencia normal de las cotizaciones en Colombia, que se resume en un índice</w:t>
      </w:r>
      <w:r>
        <w:t xml:space="preserve"> </w:t>
      </w:r>
      <w:r>
        <w:t xml:space="preserve">Estacional Medio Interanual (IEM) fundamentado en la estimación de un valor de referencia de los</w:t>
      </w:r>
      <w:r>
        <w:t xml:space="preserve"> </w:t>
      </w:r>
      <w:r>
        <w:t xml:space="preserve">cotizantes de cada mes en relación con enero del año de análisis.</w:t>
      </w:r>
      <w:r>
        <w:t xml:space="preserve"> </w:t>
      </w:r>
      <w:r>
        <w:t xml:space="preserve">La estimación del IEM se generó a partir de la información de la serie mensual de cotizantes desde</w:t>
      </w:r>
      <w:r>
        <w:t xml:space="preserve"> </w:t>
      </w:r>
      <w:r>
        <w:t xml:space="preserve">enero de 2012 hasta diciembre de 2019, en donde se observa un incremento de cotizantes de</w:t>
      </w:r>
      <w:r>
        <w:t xml:space="preserve"> </w:t>
      </w:r>
      <w:r>
        <w:t xml:space="preserve">febrero a junio y de julio a septiembre tal como se muestra en la gráfica 1 y tabla 1. El ejercicio se</w:t>
      </w:r>
      <w:r>
        <w:t xml:space="preserve"> </w:t>
      </w:r>
      <w:r>
        <w:t xml:space="preserve">realizó para los cotizantes independientes y dependientes.</w:t>
      </w:r>
    </w:p>
    <w:bookmarkStart w:id="20" w:name="comportamiento-de-los-cotizantes"/>
    <w:p>
      <w:pPr>
        <w:pStyle w:val="Heading3"/>
      </w:pPr>
      <w:r>
        <w:t xml:space="preserve">Comportamiento de los cotizantes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tipologia_salida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rangoIBC_salida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referencia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interes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diferencia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Hasta 1 SMMLV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3441381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3838402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397021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0.1153668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Entre 1 y hasta 2 SMMLV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3441898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3673672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231774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0.0673390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Entre 2 y hasta 5 SMMLV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1826338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0.1056196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a 5 SMMLV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706539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769016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62477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0.0884268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9416156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10300325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884169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0.0938991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Hasta 1 SMMLV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1493535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1544743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0.0342864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Entre 1 y hasta 2 SMMLV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405524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448268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42744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0.1054044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Entre 2 y hasta 5 SMMLV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177347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197851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0.1156151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a 5 SMMLV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51557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0.1850277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Independiente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2119913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2242419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0.0577882</w:t>
            </w:r>
          </w:p>
        </w:tc>
      </w:tr>
    </w:tbl>
    <w:p>
      <w:pPr>
        <w:pStyle w:val="BodyText"/>
      </w:pPr>
      <w:r>
        <w:t xml:space="preserve">Novedades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Novedad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May.19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Jun.19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May.20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Jun.20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May.21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Jun.21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Ingreso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957124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895143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659193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721065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797641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898766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Retiro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922779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931338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645051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733548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816890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877474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Suspension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180528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184302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484869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316472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277644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Incapacidades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55561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55530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Vacaciones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39867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524730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373804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463605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749235</w:t>
            </w:r>
          </w:p>
        </w:tc>
      </w:tr>
    </w:tbl>
    <w:bookmarkEnd w:id="20"/>
    <w:bookmarkEnd w:id="21"/>
    <w:sectPr w:rsidR="00CA76E9">
      <w:pgSz w:h="15840" w:w="12240"/>
      <w:pgMar w:bottom="1417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000A990"/>
    <w:multiLevelType w:val="multilevel"/>
    <w:tmpl w:val="B4103ED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OC1" w:type="paragraph">
    <w:name w:val="toc 1"/>
    <w:basedOn w:val="Normal"/>
    <w:next w:val="Normal"/>
    <w:autoRedefine/>
    <w:uiPriority w:val="39"/>
    <w:unhideWhenUsed/>
    <w:rsid w:val="007415A3"/>
    <w:pPr>
      <w:spacing w:after="100"/>
    </w:pPr>
  </w:style>
  <w:style w:styleId="TOC3" w:type="paragraph">
    <w:name w:val="toc 3"/>
    <w:basedOn w:val="Normal"/>
    <w:next w:val="Normal"/>
    <w:autoRedefine/>
    <w:uiPriority w:val="39"/>
    <w:unhideWhenUsed/>
    <w:rsid w:val="007415A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Boletín mensual: Evolución de las cotizaciones al Sistema de Protección Social Junio 2021</dc:title>
  <dc:creator>Unidad de Gestión Pensional y Parafiscales - UGPP</dc:creator>
  <cp:keywords/>
  <dcterms:created xsi:type="dcterms:W3CDTF">2022-02-25T09:27:59Z</dcterms:created>
  <dcterms:modified xsi:type="dcterms:W3CDTF">2022-02-25T09:27:59Z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Periodo - Junio de 2021</vt:lpwstr>
  </property>
  <property fmtid="{D5CDD505-2E9C-101B-9397-08002B2CF9AE}" pid="4" name="output">
    <vt:lpwstr/>
  </property>
</Properties>
</file>