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60" w:line="240" w:lineRule="auto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前沿融课教师助手</w:t>
      </w:r>
    </w:p>
    <w:p>
      <w:pPr>
        <w:spacing w:before="0" w:after="200" w:line="240" w:lineRule="auto"/>
        <w:jc w:val="center"/>
      </w:pPr>
      <w:r>
        <w:rPr>
          <w:rFonts w:ascii="Noto Sans CJK SC" w:hAnsi="Noto Sans CJK SC" w:eastAsia="Noto Sans CJK SC"/>
          <w:b/>
          <w:color w:val="2D2D2D"/>
          <w:sz w:val="34"/>
        </w:rPr>
        <w:t>产品功能说明书（面向用户）</w:t>
      </w:r>
    </w:p>
    <w:p>
      <w:pPr>
        <w:spacing w:before="0" w:after="360" w:line="288" w:lineRule="auto"/>
        <w:jc w:val="center"/>
      </w:pPr>
      <w:r>
        <w:rPr>
          <w:rFonts w:ascii="Noto Sans CJK SC" w:hAnsi="Noto Sans CJK SC" w:eastAsia="Noto Sans CJK SC"/>
          <w:b w:val="0"/>
          <w:color w:val="5A5A5A"/>
          <w:sz w:val="23"/>
        </w:rPr>
        <w:t>描述教师端、学生端与演示端的目标用户、功能边界、流程和输出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文档类型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产品功能说明书（面向用户）</w:t>
            </w:r>
          </w:p>
        </w:tc>
      </w:tr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面向对象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产品负责人 / 设计人员 / Claude Code</w:t>
            </w:r>
          </w:p>
        </w:tc>
      </w:tr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版本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V0.9</w:t>
            </w:r>
          </w:p>
        </w:tc>
      </w:tr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编写日期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2026-04-02</w:t>
            </w:r>
          </w:p>
        </w:tc>
      </w:tr>
    </w:tbl>
    <w:p/>
    <w:p>
      <w:pPr>
        <w:spacing w:before="120" w:after="0" w:line="288" w:lineRule="auto"/>
        <w:jc w:val="center"/>
      </w:pPr>
      <w:r>
        <w:rPr>
          <w:rFonts w:ascii="Noto Sans CJK SC" w:hAnsi="Noto Sans CJK SC" w:eastAsia="Noto Sans CJK SC"/>
          <w:b w:val="0"/>
          <w:color w:val="5A5A5A"/>
          <w:sz w:val="19"/>
        </w:rPr>
        <w:t>说明：本稿用于向 Claude Code 提供项目背景、功能边界、技术约束与开发任务，不是最终对外提交材料。</w:t>
      </w:r>
    </w:p>
    <w:p>
      <w:r>
        <w:br w:type="page"/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1. 产品目标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sz w:val="22"/>
        </w:rPr>
        <w:t>本产品面向高校教师，帮助其围绕某门具体课程、某个具体章节，引入前沿研究、行业案例或新技术，并快速生成可直接编辑的课时包；同时，产品提供学生端 AI 助教与教师复盘分析，使课前准备、课后答疑与教学改进形成轻量闭环。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2. 目标用户</w:t>
      </w:r>
    </w:p>
    <w:p>
      <w:pPr>
        <w:spacing w:before="160" w:after="60" w:line="240" w:lineRule="auto"/>
      </w:pPr>
      <w:r>
        <w:rPr>
          <w:rFonts w:ascii="Noto Sans CJK SC" w:hAnsi="Noto Sans CJK SC" w:eastAsia="Noto Sans CJK SC"/>
          <w:b/>
          <w:color w:val="2F5496"/>
          <w:sz w:val="25"/>
        </w:rPr>
        <w:t>用户画像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hRule="atLeast" w:val="454"/>
        </w:trPr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7FB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教师用户</w:t>
            </w:r>
          </w:p>
        </w:tc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负责课程设计、课时准备、课堂讲授与教学改进，希望快速完成前沿融课。</w:t>
            </w:r>
          </w:p>
        </w:tc>
      </w:tr>
      <w:tr>
        <w:trPr>
          <w:trHeight w:hRule="atLeast" w:val="454"/>
        </w:trPr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7FB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学生用户</w:t>
            </w:r>
          </w:p>
        </w:tc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围绕教师发布的课时包进行课后问答、复习与延伸阅读。</w:t>
            </w:r>
          </w:p>
        </w:tc>
      </w:tr>
      <w:tr>
        <w:trPr>
          <w:trHeight w:hRule="atLeast" w:val="454"/>
        </w:trPr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7FB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演示用户</w:t>
            </w:r>
          </w:p>
        </w:tc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评委、指导老师或测试用户，需要在短时间内完整体验产品主链路。</w:t>
            </w:r>
          </w:p>
        </w:tc>
      </w:tr>
    </w:tbl>
    <w:p/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3. 核心使用场景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教师准备某一节课，希望引入一个前沿主题，但不确定该放在哪一部分、如何讲、如何控制难度。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教师已有课程大纲、PPT、讲义和若干论文，希望快速产出新的课时包。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学生在课后围绕本节课与前沿扩展内容提问，希望得到受课程边界约束的解释与阅读建议。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教师在一段时间后，希望知道学生最常问什么、最容易混淆什么，以及下一轮授课可如何优化。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4. 用户侧的完整闭环</w:t>
      </w:r>
    </w:p>
    <w:p>
      <w:pPr>
        <w:spacing w:before="160" w:after="60" w:line="240" w:lineRule="auto"/>
      </w:pPr>
      <w:r>
        <w:rPr>
          <w:rFonts w:ascii="Noto Sans CJK SC" w:hAnsi="Noto Sans CJK SC" w:eastAsia="Noto Sans CJK SC"/>
          <w:b/>
          <w:color w:val="2F5496"/>
          <w:sz w:val="25"/>
        </w:rPr>
        <w:t>4.1 教师端流程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创建课程画像：填写课程名称、授课对象、学生水平、当前章节、课时长度、课程目标与拟引入的前沿方向。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上传资料：上传课程大纲、PPT、讲义、教材节选、论文、综述或案例材料。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生成建议：系统先给出前沿融课建议，如适合插入的位置、先修要求、可教性与风险。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生成课时包：系统输出教学目标、时间分配、PPT 大纲、案例素材、讨论题、课后任务等结构化内容。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编辑与发布：教师可修改课时包，并将其发布给学生端作为问答边界。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查看复盘：教师查看学生提问聚类、高频问题、薄弱点与教学建议。</w:t>
      </w:r>
    </w:p>
    <w:p>
      <w:pPr>
        <w:spacing w:before="160" w:after="60" w:line="240" w:lineRule="auto"/>
      </w:pPr>
      <w:r>
        <w:rPr>
          <w:rFonts w:ascii="Noto Sans CJK SC" w:hAnsi="Noto Sans CJK SC" w:eastAsia="Noto Sans CJK SC"/>
          <w:b/>
          <w:color w:val="2F5496"/>
          <w:sz w:val="25"/>
        </w:rPr>
        <w:t>4.2 学生端流程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选择课程与章节。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查看当前课时主题与说明。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输入课后问题。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获得课程边界内的回答与延伸阅读建议。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5. 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模块</w:t>
            </w:r>
          </w:p>
        </w:tc>
        <w:tc>
          <w:tcPr>
            <w:tcW w:type="dxa" w:w="2381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功能</w:t>
            </w:r>
          </w:p>
        </w:tc>
        <w:tc>
          <w:tcPr>
            <w:tcW w:type="dxa" w:w="2381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输入</w:t>
            </w:r>
          </w:p>
        </w:tc>
        <w:tc>
          <w:tcPr>
            <w:tcW w:type="dxa" w:w="2381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输出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教师端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课程画像配置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课程名、对象、章节、目标、风格等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统一课程上下文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教师端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资料上传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课程资料、前沿资料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可检索知识源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教师端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前沿融课分析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前沿主题 + 课程上下文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插入位置、先修要求、风险与可教性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教师端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课时包生成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课程画像 + 检索结果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结构化课时包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教师端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结果编辑与发布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教师修改意见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可使用、可发布的版本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学生端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课后问答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学生问题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边界内回答 + 证据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分析端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教师复盘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问答日志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高频问题、易错点、建议</w:t>
            </w:r>
          </w:p>
        </w:tc>
      </w:tr>
    </w:tbl>
    <w:p/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6. 课时包的最小输出结构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教学目标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先修要求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本节主线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前沿主题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融入位置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时间分配建议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PPT 大纲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教师讲授提示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案例素材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讨论题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课后任务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延伸阅读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风险提示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参考依据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7. 学生问答的边界要求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回答优先基于课程资料与前沿资料，不做无限制泛化回答。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超出当前课时包范围时，需要明确说明边界并给出保守回答。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对不确定、资料不足或引用不明确的内容，应直接提示而不是编造。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不直接代写作业答案，不输出明显违规内容。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8. 设计与交互原则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教师端强调高信息密度下的清晰层次：输入集中、结果结构化、可快速编辑。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学生端强调轻量、明确和少选项，尽量一屏进入问答。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演示端强调主链路可视化，最好能在数分钟内走完一轮完整闭环。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9. MVP 与后续扩展</w:t>
      </w:r>
    </w:p>
    <w:p>
      <w:pPr>
        <w:spacing w:before="160" w:after="60" w:line="240" w:lineRule="auto"/>
      </w:pPr>
      <w:r>
        <w:rPr>
          <w:rFonts w:ascii="Noto Sans CJK SC" w:hAnsi="Noto Sans CJK SC" w:eastAsia="Noto Sans CJK SC"/>
          <w:b/>
          <w:color w:val="2F5496"/>
          <w:sz w:val="25"/>
        </w:rPr>
        <w:t>9.1 MVP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课程创建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资料上传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课时包生成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学生问答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教师复盘</w:t>
      </w:r>
    </w:p>
    <w:p>
      <w:pPr>
        <w:spacing w:before="160" w:after="60" w:line="240" w:lineRule="auto"/>
      </w:pPr>
      <w:r>
        <w:rPr>
          <w:rFonts w:ascii="Noto Sans CJK SC" w:hAnsi="Noto Sans CJK SC" w:eastAsia="Noto Sans CJK SC"/>
          <w:b/>
          <w:color w:val="2F5496"/>
          <w:sz w:val="25"/>
        </w:rPr>
        <w:t>9.2 后续扩展方向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多版本课时包：本科版、研究生版、理论版、工程版。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图表/图片讲解：支持上传论文图表并生成讲授说明。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模板库：不同课程类型的教学模板和课后任务模板。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更多导出：导出 Markdown、Word、PPT 大纲等。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10. 成功体验标准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教师只输入少量关键信息，就能拿到可修改的结构化结果。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学生问答不明显跑偏，回答显得“像本课的助教”。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教师复盘页能直接给出下一次课如何改的建议。</w:t>
      </w:r>
    </w:p>
    <w:sectPr w:rsidR="00FC693F" w:rsidRPr="0006063C" w:rsidSect="00034616"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