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jc w:val="center"/>
      </w:pPr>
      <w:r>
        <w:rPr>
          <w:b/>
          <w:color w:val="172033"/>
          <w:sz w:val="52"/>
        </w:rPr>
        <w:t>PROMESA</w:t>
      </w:r>
    </w:p>
    <w:p>
      <w:pPr>
        <w:spacing w:after="480"/>
        <w:jc w:val="center"/>
      </w:pPr>
      <w:r>
        <w:rPr>
          <w:color w:val="0F766E"/>
          <w:sz w:val="32"/>
        </w:rPr>
        <w:t>Consolidated Project Documentation</w:t>
      </w:r>
    </w:p>
    <w:tbl>
      <w:tblPr>
        <w:tblW w:type="auto" w:w="0"/>
        <w:jc w:val="center"/>
        <w:tblLayout w:type="fixed"/>
        <w:tblLook w:firstColumn="1" w:firstRow="1" w:lastColumn="0" w:lastRow="0" w:noHBand="0" w:noVBand="1" w:val="04A0"/>
      </w:tblPr>
      <w:tblGrid>
        <w:gridCol w:w="4680"/>
        <w:gridCol w:w="4680"/>
      </w:tblGrid>
      <w:tr>
        <w:tc>
          <w:tcPr>
            <w:tcW w:type="dxa" w:w="2232"/>
            <w:vAlign w:val="center"/>
            <w:shd w:fill="F1F5F9"/>
          </w:tcPr>
          <w:p>
            <w:pPr>
              <w:spacing w:after="0"/>
            </w:pPr>
            <w:r/>
            <w:r>
              <w:rPr>
                <w:rFonts w:ascii="Calibri" w:hAnsi="Calibri"/>
                <w:b/>
                <w:sz w:val="18"/>
              </w:rPr>
              <w:t>Course</w:t>
            </w:r>
          </w:p>
        </w:tc>
        <w:tc>
          <w:tcPr>
            <w:tcW w:type="dxa" w:w="7128"/>
            <w:vAlign w:val="center"/>
          </w:tcPr>
          <w:p>
            <w:pPr>
              <w:spacing w:after="0"/>
            </w:pPr>
            <w:r/>
            <w:r>
              <w:rPr>
                <w:rFonts w:ascii="Calibri" w:hAnsi="Calibri"/>
                <w:b w:val="0"/>
                <w:sz w:val="18"/>
              </w:rPr>
              <w:t>CSCD 602 Advanced Software Engineering Project</w:t>
            </w:r>
          </w:p>
        </w:tc>
      </w:tr>
      <w:tr>
        <w:tc>
          <w:tcPr>
            <w:tcW w:type="dxa" w:w="2232"/>
            <w:vAlign w:val="center"/>
            <w:shd w:fill="F1F5F9"/>
          </w:tcPr>
          <w:p>
            <w:pPr>
              <w:spacing w:after="0"/>
            </w:pPr>
            <w:r/>
            <w:r>
              <w:rPr>
                <w:rFonts w:ascii="Calibri" w:hAnsi="Calibri"/>
                <w:b/>
                <w:sz w:val="18"/>
              </w:rPr>
              <w:t>Student Name</w:t>
            </w:r>
          </w:p>
        </w:tc>
        <w:tc>
          <w:tcPr>
            <w:tcW w:type="dxa" w:w="7128"/>
            <w:vAlign w:val="center"/>
          </w:tcPr>
          <w:p>
            <w:pPr>
              <w:spacing w:after="0"/>
            </w:pPr>
            <w:r/>
            <w:r>
              <w:rPr>
                <w:rFonts w:ascii="Calibri" w:hAnsi="Calibri"/>
                <w:b w:val="0"/>
                <w:sz w:val="18"/>
              </w:rPr>
              <w:t>[Enter your name]</w:t>
            </w:r>
          </w:p>
        </w:tc>
      </w:tr>
      <w:tr>
        <w:tc>
          <w:tcPr>
            <w:tcW w:type="dxa" w:w="2232"/>
            <w:vAlign w:val="center"/>
            <w:shd w:fill="F1F5F9"/>
          </w:tcPr>
          <w:p>
            <w:pPr>
              <w:spacing w:after="0"/>
            </w:pPr>
            <w:r/>
            <w:r>
              <w:rPr>
                <w:rFonts w:ascii="Calibri" w:hAnsi="Calibri"/>
                <w:b/>
                <w:sz w:val="18"/>
              </w:rPr>
              <w:t>Student ID</w:t>
            </w:r>
          </w:p>
        </w:tc>
        <w:tc>
          <w:tcPr>
            <w:tcW w:type="dxa" w:w="7128"/>
            <w:vAlign w:val="center"/>
          </w:tcPr>
          <w:p>
            <w:pPr>
              <w:spacing w:after="0"/>
            </w:pPr>
            <w:r/>
            <w:r>
              <w:rPr>
                <w:rFonts w:ascii="Calibri" w:hAnsi="Calibri"/>
                <w:b w:val="0"/>
                <w:sz w:val="18"/>
              </w:rPr>
              <w:t>[Enter your student ID]</w:t>
            </w:r>
          </w:p>
        </w:tc>
      </w:tr>
      <w:tr>
        <w:tc>
          <w:tcPr>
            <w:tcW w:type="dxa" w:w="2232"/>
            <w:vAlign w:val="center"/>
            <w:shd w:fill="F1F5F9"/>
          </w:tcPr>
          <w:p>
            <w:pPr>
              <w:spacing w:after="0"/>
            </w:pPr>
            <w:r/>
            <w:r>
              <w:rPr>
                <w:rFonts w:ascii="Calibri" w:hAnsi="Calibri"/>
                <w:b/>
                <w:sz w:val="18"/>
              </w:rPr>
              <w:t>Submission Date</w:t>
            </w:r>
          </w:p>
        </w:tc>
        <w:tc>
          <w:tcPr>
            <w:tcW w:type="dxa" w:w="7128"/>
            <w:vAlign w:val="center"/>
          </w:tcPr>
          <w:p>
            <w:pPr>
              <w:spacing w:after="0"/>
            </w:pPr>
            <w:r/>
            <w:r>
              <w:rPr>
                <w:rFonts w:ascii="Calibri" w:hAnsi="Calibri"/>
                <w:b w:val="0"/>
                <w:sz w:val="18"/>
              </w:rPr>
              <w:t>[Enter date]</w:t>
            </w:r>
          </w:p>
        </w:tc>
      </w:tr>
    </w:tbl>
    <w:p/>
    <w:p>
      <w:pPr>
        <w:pStyle w:val="Heading1"/>
      </w:pPr>
      <w:r>
        <w:t>1. Project title and problem statement</w:t>
      </w:r>
    </w:p>
    <w:p>
      <w:r>
        <w:rPr>
          <w:i w:val="0"/>
        </w:rPr>
        <w:t>PROMESA is a web-based donation campaign management system for SDG-focused NGOs. Small NGOs often manage campaigns through spreadsheets, social media and email, which reduces visibility of donor commitments and makes it difficult to show how work aligns with the UN Sustainable Development Goals.</w:t>
      </w:r>
    </w:p>
    <w:p>
      <w:pPr>
        <w:pStyle w:val="Heading1"/>
      </w:pPr>
      <w:r>
        <w:t>2. Aim, objectives and stakeholders</w:t>
      </w:r>
    </w:p>
    <w:p>
      <w:r>
        <w:rPr>
          <w:i w:val="0"/>
        </w:rPr>
        <w:t>The aim is to provide a deployable web application for NGO campaign management and donor pledge tracking.</w:t>
      </w:r>
    </w:p>
    <w:p>
      <w:pPr>
        <w:pStyle w:val="ListBullet"/>
      </w:pPr>
      <w:r>
        <w:t>Allow donors to discover approved campaigns and record GHS pledges.</w:t>
      </w:r>
    </w:p>
    <w:p>
      <w:pPr>
        <w:pStyle w:val="ListBullet"/>
      </w:pPr>
      <w:r>
        <w:t>Allow NGOs to submit profiles and campaign proposals for review.</w:t>
      </w:r>
    </w:p>
    <w:p>
      <w:pPr>
        <w:pStyle w:val="ListBullet"/>
      </w:pPr>
      <w:r>
        <w:t>Allow administrators to approve or reject NGOs and campaigns.</w:t>
      </w:r>
    </w:p>
    <w:p>
      <w:pPr>
        <w:pStyle w:val="ListBullet"/>
      </w:pPr>
      <w:r>
        <w:t>Provide role-based dashboards, validation and traceable pledge records.</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shd w:fill="F1F5F9"/>
          </w:tcPr>
          <w:p>
            <w:pPr>
              <w:spacing w:after="0"/>
            </w:pPr>
            <w:r/>
            <w:r>
              <w:rPr>
                <w:rFonts w:ascii="Calibri" w:hAnsi="Calibri"/>
                <w:b/>
                <w:sz w:val="18"/>
              </w:rPr>
              <w:t>Stakeholder</w:t>
            </w:r>
          </w:p>
        </w:tc>
        <w:tc>
          <w:tcPr>
            <w:tcW w:type="dxa" w:w="6480"/>
            <w:vAlign w:val="center"/>
            <w:shd w:fill="F1F5F9"/>
          </w:tcPr>
          <w:p>
            <w:pPr>
              <w:spacing w:after="0"/>
            </w:pPr>
            <w:r/>
            <w:r>
              <w:rPr>
                <w:rFonts w:ascii="Calibri" w:hAnsi="Calibri"/>
                <w:b/>
                <w:sz w:val="18"/>
              </w:rPr>
              <w:t>Need</w:t>
            </w:r>
          </w:p>
        </w:tc>
      </w:tr>
      <w:tr>
        <w:tc>
          <w:tcPr>
            <w:tcW w:type="dxa" w:w="4680"/>
            <w:vAlign w:val="center"/>
          </w:tcPr>
          <w:p>
            <w:pPr>
              <w:spacing w:after="0"/>
            </w:pPr>
            <w:r/>
            <w:r>
              <w:rPr>
                <w:rFonts w:ascii="Calibri" w:hAnsi="Calibri"/>
                <w:b w:val="0"/>
                <w:sz w:val="18"/>
              </w:rPr>
              <w:t>Public visitor</w:t>
            </w:r>
          </w:p>
        </w:tc>
        <w:tc>
          <w:tcPr>
            <w:tcW w:type="dxa" w:w="4680"/>
            <w:vAlign w:val="center"/>
          </w:tcPr>
          <w:p>
            <w:pPr>
              <w:spacing w:after="0"/>
            </w:pPr>
            <w:r/>
            <w:r>
              <w:rPr>
                <w:rFonts w:ascii="Calibri" w:hAnsi="Calibri"/>
                <w:b w:val="0"/>
                <w:sz w:val="18"/>
              </w:rPr>
              <w:t>Browse approved campaigns without an account.</w:t>
            </w:r>
          </w:p>
        </w:tc>
      </w:tr>
      <w:tr>
        <w:tc>
          <w:tcPr>
            <w:tcW w:type="dxa" w:w="4680"/>
            <w:vAlign w:val="center"/>
          </w:tcPr>
          <w:p>
            <w:pPr>
              <w:spacing w:after="0"/>
            </w:pPr>
            <w:r/>
            <w:r>
              <w:rPr>
                <w:rFonts w:ascii="Calibri" w:hAnsi="Calibri"/>
                <w:b w:val="0"/>
                <w:sz w:val="18"/>
              </w:rPr>
              <w:t>Donor</w:t>
            </w:r>
          </w:p>
        </w:tc>
        <w:tc>
          <w:tcPr>
            <w:tcW w:type="dxa" w:w="4680"/>
            <w:vAlign w:val="center"/>
          </w:tcPr>
          <w:p>
            <w:pPr>
              <w:spacing w:after="0"/>
            </w:pPr>
            <w:r/>
            <w:r>
              <w:rPr>
                <w:rFonts w:ascii="Calibri" w:hAnsi="Calibri"/>
                <w:b w:val="0"/>
                <w:sz w:val="18"/>
              </w:rPr>
              <w:t>Pledge support and review pledge history.</w:t>
            </w:r>
          </w:p>
        </w:tc>
      </w:tr>
      <w:tr>
        <w:tc>
          <w:tcPr>
            <w:tcW w:type="dxa" w:w="4680"/>
            <w:vAlign w:val="center"/>
          </w:tcPr>
          <w:p>
            <w:pPr>
              <w:spacing w:after="0"/>
            </w:pPr>
            <w:r/>
            <w:r>
              <w:rPr>
                <w:rFonts w:ascii="Calibri" w:hAnsi="Calibri"/>
                <w:b w:val="0"/>
                <w:sz w:val="18"/>
              </w:rPr>
              <w:t>NGO representative</w:t>
            </w:r>
          </w:p>
        </w:tc>
        <w:tc>
          <w:tcPr>
            <w:tcW w:type="dxa" w:w="4680"/>
            <w:vAlign w:val="center"/>
          </w:tcPr>
          <w:p>
            <w:pPr>
              <w:spacing w:after="0"/>
            </w:pPr>
            <w:r/>
            <w:r>
              <w:rPr>
                <w:rFonts w:ascii="Calibri" w:hAnsi="Calibri"/>
                <w:b w:val="0"/>
                <w:sz w:val="18"/>
              </w:rPr>
              <w:t>Create an NGO profile, submit campaigns and view received pledges.</w:t>
            </w:r>
          </w:p>
        </w:tc>
      </w:tr>
      <w:tr>
        <w:tc>
          <w:tcPr>
            <w:tcW w:type="dxa" w:w="4680"/>
            <w:vAlign w:val="center"/>
          </w:tcPr>
          <w:p>
            <w:pPr>
              <w:spacing w:after="0"/>
            </w:pPr>
            <w:r/>
            <w:r>
              <w:rPr>
                <w:rFonts w:ascii="Calibri" w:hAnsi="Calibri"/>
                <w:b w:val="0"/>
                <w:sz w:val="18"/>
              </w:rPr>
              <w:t>Administrator</w:t>
            </w:r>
          </w:p>
        </w:tc>
        <w:tc>
          <w:tcPr>
            <w:tcW w:type="dxa" w:w="4680"/>
            <w:vAlign w:val="center"/>
          </w:tcPr>
          <w:p>
            <w:pPr>
              <w:spacing w:after="0"/>
            </w:pPr>
            <w:r/>
            <w:r>
              <w:rPr>
                <w:rFonts w:ascii="Calibri" w:hAnsi="Calibri"/>
                <w:b w:val="0"/>
                <w:sz w:val="18"/>
              </w:rPr>
              <w:t>Oversee accounts and approve/reject submissions.</w:t>
            </w:r>
          </w:p>
        </w:tc>
      </w:tr>
    </w:tbl>
    <w:p/>
    <w:p>
      <w:pPr>
        <w:pStyle w:val="Heading1"/>
      </w:pPr>
      <w:r>
        <w:t>3. Lifecycle, architecture and design</w:t>
      </w:r>
    </w:p>
    <w:p>
      <w:r>
        <w:rPr>
          <w:i w:val="0"/>
        </w:rPr>
        <w:t>The project follows an iterative lifecycle: requirements and estimation, analysis and design, implementation, testing, deployment and planned maintenance. Next.js provides the App Router user interface and server actions. Auth.js provides credentials sessions; Drizzle ORM accesses Neon PostgreSQL; Vercel hosts the application.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shd w:fill="F1F5F9"/>
          </w:tcPr>
          <w:p>
            <w:pPr>
              <w:spacing w:after="0"/>
            </w:pPr>
            <w:r/>
            <w:r>
              <w:rPr>
                <w:rFonts w:ascii="Calibri" w:hAnsi="Calibri"/>
                <w:b/>
                <w:sz w:val="18"/>
              </w:rPr>
              <w:t>Entity</w:t>
            </w:r>
          </w:p>
        </w:tc>
        <w:tc>
          <w:tcPr>
            <w:tcW w:type="dxa" w:w="7056"/>
            <w:vAlign w:val="center"/>
            <w:shd w:fill="F1F5F9"/>
          </w:tcPr>
          <w:p>
            <w:pPr>
              <w:spacing w:after="0"/>
            </w:pPr>
            <w:r/>
            <w:r>
              <w:rPr>
                <w:rFonts w:ascii="Calibri" w:hAnsi="Calibri"/>
                <w:b/>
                <w:sz w:val="18"/>
              </w:rPr>
              <w:t>Key relationships</w:t>
            </w:r>
          </w:p>
        </w:tc>
      </w:tr>
      <w:tr>
        <w:tc>
          <w:tcPr>
            <w:tcW w:type="dxa" w:w="4680"/>
            <w:vAlign w:val="center"/>
          </w:tcPr>
          <w:p>
            <w:pPr>
              <w:spacing w:after="0"/>
            </w:pPr>
            <w:r/>
            <w:r>
              <w:rPr>
                <w:rFonts w:ascii="Calibri" w:hAnsi="Calibri"/>
                <w:b w:val="0"/>
                <w:sz w:val="18"/>
              </w:rPr>
              <w:t>User</w:t>
            </w:r>
          </w:p>
        </w:tc>
        <w:tc>
          <w:tcPr>
            <w:tcW w:type="dxa" w:w="4680"/>
            <w:vAlign w:val="center"/>
          </w:tcPr>
          <w:p>
            <w:pPr>
              <w:spacing w:after="0"/>
            </w:pPr>
            <w:r/>
            <w:r>
              <w:rPr>
                <w:rFonts w:ascii="Calibri" w:hAnsi="Calibri"/>
                <w:b w:val="0"/>
                <w:sz w:val="18"/>
              </w:rPr>
              <w:t>Has one role: donor, NGO or administrator.</w:t>
            </w:r>
          </w:p>
        </w:tc>
      </w:tr>
      <w:tr>
        <w:tc>
          <w:tcPr>
            <w:tcW w:type="dxa" w:w="4680"/>
            <w:vAlign w:val="center"/>
          </w:tcPr>
          <w:p>
            <w:pPr>
              <w:spacing w:after="0"/>
            </w:pPr>
            <w:r/>
            <w:r>
              <w:rPr>
                <w:rFonts w:ascii="Calibri" w:hAnsi="Calibri"/>
                <w:b w:val="0"/>
                <w:sz w:val="18"/>
              </w:rPr>
              <w:t>NGO profile</w:t>
            </w:r>
          </w:p>
        </w:tc>
        <w:tc>
          <w:tcPr>
            <w:tcW w:type="dxa" w:w="4680"/>
            <w:vAlign w:val="center"/>
          </w:tcPr>
          <w:p>
            <w:pPr>
              <w:spacing w:after="0"/>
            </w:pPr>
            <w:r/>
            <w:r>
              <w:rPr>
                <w:rFonts w:ascii="Calibri" w:hAnsi="Calibri"/>
                <w:b w:val="0"/>
                <w:sz w:val="18"/>
              </w:rPr>
              <w:t>Owned by one NGO user; has an approval state.</w:t>
            </w:r>
          </w:p>
        </w:tc>
      </w:tr>
      <w:tr>
        <w:tc>
          <w:tcPr>
            <w:tcW w:type="dxa" w:w="4680"/>
            <w:vAlign w:val="center"/>
          </w:tcPr>
          <w:p>
            <w:pPr>
              <w:spacing w:after="0"/>
            </w:pPr>
            <w:r/>
            <w:r>
              <w:rPr>
                <w:rFonts w:ascii="Calibri" w:hAnsi="Calibri"/>
                <w:b w:val="0"/>
                <w:sz w:val="18"/>
              </w:rPr>
              <w:t>Campaign</w:t>
            </w:r>
          </w:p>
        </w:tc>
        <w:tc>
          <w:tcPr>
            <w:tcW w:type="dxa" w:w="4680"/>
            <w:vAlign w:val="center"/>
          </w:tcPr>
          <w:p>
            <w:pPr>
              <w:spacing w:after="0"/>
            </w:pPr>
            <w:r/>
            <w:r>
              <w:rPr>
                <w:rFonts w:ascii="Calibri" w:hAnsi="Calibri"/>
                <w:b w:val="0"/>
                <w:sz w:val="18"/>
              </w:rPr>
              <w:t>Owned by an NGO profile; has a target, deadline, SDG and lifecycle state.</w:t>
            </w:r>
          </w:p>
        </w:tc>
      </w:tr>
      <w:tr>
        <w:tc>
          <w:tcPr>
            <w:tcW w:type="dxa" w:w="4680"/>
            <w:vAlign w:val="center"/>
          </w:tcPr>
          <w:p>
            <w:pPr>
              <w:spacing w:after="0"/>
            </w:pPr>
            <w:r/>
            <w:r>
              <w:rPr>
                <w:rFonts w:ascii="Calibri" w:hAnsi="Calibri"/>
                <w:b w:val="0"/>
                <w:sz w:val="18"/>
              </w:rPr>
              <w:t>Pledge</w:t>
            </w:r>
          </w:p>
        </w:tc>
        <w:tc>
          <w:tcPr>
            <w:tcW w:type="dxa" w:w="4680"/>
            <w:vAlign w:val="center"/>
          </w:tcPr>
          <w:p>
            <w:pPr>
              <w:spacing w:after="0"/>
            </w:pPr>
            <w:r/>
            <w:r>
              <w:rPr>
                <w:rFonts w:ascii="Calibri" w:hAnsi="Calibri"/>
                <w:b w:val="0"/>
                <w:sz w:val="18"/>
              </w:rPr>
              <w:t>Connects one donor to one campaign and records amount/date/status.</w:t>
            </w:r>
          </w:p>
        </w:tc>
      </w:tr>
    </w:tbl>
    <w:p/>
    <w:p>
      <w:pPr>
        <w:pStyle w:val="Heading1"/>
      </w:pPr>
      <w:r>
        <w:t>4. Effort estimation</w:t>
      </w:r>
    </w:p>
    <w:p>
      <w:r>
        <w:rPr>
          <w:i w:val="0"/>
        </w:rPr>
        <w:t>Wideband expert estimation was selected because PROMESA is an individual, time-boxed project with no dependable historic velocity. The estimate was used to retain only core functionality within the 48-hour examination scope.</w:t>
      </w:r>
    </w:p>
    <w:tbl>
      <w:tblPr>
        <w:tblStyle w:val="TableGrid"/>
        <w:tblW w:type="auto" w:w="0"/>
        <w:jc w:val="center"/>
        <w:tblLayout w:type="fixed"/>
        <w:tblLook w:firstColumn="1" w:firstRow="1" w:lastColumn="0" w:lastRow="0" w:noHBand="0" w:noVBand="1" w:val="04A0"/>
      </w:tblPr>
      <w:tblGrid>
        <w:gridCol w:w="4680"/>
        <w:gridCol w:w="4680"/>
      </w:tblGrid>
      <w:tr>
        <w:tc>
          <w:tcPr>
            <w:tcW w:type="dxa" w:w="6912"/>
            <w:vAlign w:val="center"/>
            <w:shd w:fill="F1F5F9"/>
          </w:tcPr>
          <w:p>
            <w:pPr>
              <w:spacing w:after="0"/>
            </w:pPr>
            <w:r/>
            <w:r>
              <w:rPr>
                <w:rFonts w:ascii="Calibri" w:hAnsi="Calibri"/>
                <w:b/>
                <w:sz w:val="18"/>
              </w:rPr>
              <w:t>Work package</w:t>
            </w:r>
          </w:p>
        </w:tc>
        <w:tc>
          <w:tcPr>
            <w:tcW w:type="dxa" w:w="2448"/>
            <w:vAlign w:val="center"/>
            <w:shd w:fill="F1F5F9"/>
          </w:tcPr>
          <w:p>
            <w:pPr>
              <w:spacing w:after="0"/>
            </w:pPr>
            <w:r/>
            <w:r>
              <w:rPr>
                <w:rFonts w:ascii="Calibri" w:hAnsi="Calibri"/>
                <w:b/>
                <w:sz w:val="18"/>
              </w:rPr>
              <w:t>Estimated hours</w:t>
            </w:r>
          </w:p>
        </w:tc>
      </w:tr>
      <w:tr>
        <w:tc>
          <w:tcPr>
            <w:tcW w:type="dxa" w:w="4680"/>
            <w:vAlign w:val="center"/>
          </w:tcPr>
          <w:p>
            <w:pPr>
              <w:spacing w:after="0"/>
            </w:pPr>
            <w:r/>
            <w:r>
              <w:rPr>
                <w:rFonts w:ascii="Calibri" w:hAnsi="Calibri"/>
                <w:b w:val="0"/>
                <w:sz w:val="18"/>
              </w:rPr>
              <w:t>Requirements and design</w:t>
            </w:r>
          </w:p>
        </w:tc>
        <w:tc>
          <w:tcPr>
            <w:tcW w:type="dxa" w:w="4680"/>
            <w:vAlign w:val="center"/>
          </w:tcPr>
          <w:p>
            <w:pPr>
              <w:spacing w:after="0"/>
            </w:pPr>
            <w:r/>
            <w:r>
              <w:rPr>
                <w:rFonts w:ascii="Calibri" w:hAnsi="Calibri"/>
                <w:b w:val="0"/>
                <w:sz w:val="18"/>
              </w:rPr>
              <w:t>8</w:t>
            </w:r>
          </w:p>
        </w:tc>
      </w:tr>
      <w:tr>
        <w:tc>
          <w:tcPr>
            <w:tcW w:type="dxa" w:w="4680"/>
            <w:vAlign w:val="center"/>
          </w:tcPr>
          <w:p>
            <w:pPr>
              <w:spacing w:after="0"/>
            </w:pPr>
            <w:r/>
            <w:r>
              <w:rPr>
                <w:rFonts w:ascii="Calibri" w:hAnsi="Calibri"/>
                <w:b w:val="0"/>
                <w:sz w:val="18"/>
              </w:rPr>
              <w:t>Database, authentication and foundation</w:t>
            </w:r>
          </w:p>
        </w:tc>
        <w:tc>
          <w:tcPr>
            <w:tcW w:type="dxa" w:w="4680"/>
            <w:vAlign w:val="center"/>
          </w:tcPr>
          <w:p>
            <w:pPr>
              <w:spacing w:after="0"/>
            </w:pPr>
            <w:r/>
            <w:r>
              <w:rPr>
                <w:rFonts w:ascii="Calibri" w:hAnsi="Calibri"/>
                <w:b w:val="0"/>
                <w:sz w:val="18"/>
              </w:rPr>
              <w:t>9</w:t>
            </w:r>
          </w:p>
        </w:tc>
      </w:tr>
      <w:tr>
        <w:tc>
          <w:tcPr>
            <w:tcW w:type="dxa" w:w="4680"/>
            <w:vAlign w:val="center"/>
          </w:tcPr>
          <w:p>
            <w:pPr>
              <w:spacing w:after="0"/>
            </w:pPr>
            <w:r/>
            <w:r>
              <w:rPr>
                <w:rFonts w:ascii="Calibri" w:hAnsi="Calibri"/>
                <w:b w:val="0"/>
                <w:sz w:val="18"/>
              </w:rPr>
              <w:t>Core workflows</w:t>
            </w:r>
          </w:p>
        </w:tc>
        <w:tc>
          <w:tcPr>
            <w:tcW w:type="dxa" w:w="4680"/>
            <w:vAlign w:val="center"/>
          </w:tcPr>
          <w:p>
            <w:pPr>
              <w:spacing w:after="0"/>
            </w:pPr>
            <w:r/>
            <w:r>
              <w:rPr>
                <w:rFonts w:ascii="Calibri" w:hAnsi="Calibri"/>
                <w:b w:val="0"/>
                <w:sz w:val="18"/>
              </w:rPr>
              <w:t>13</w:t>
            </w:r>
          </w:p>
        </w:tc>
      </w:tr>
      <w:tr>
        <w:tc>
          <w:tcPr>
            <w:tcW w:type="dxa" w:w="4680"/>
            <w:vAlign w:val="center"/>
          </w:tcPr>
          <w:p>
            <w:pPr>
              <w:spacing w:after="0"/>
            </w:pPr>
            <w:r/>
            <w:r>
              <w:rPr>
                <w:rFonts w:ascii="Calibri" w:hAnsi="Calibri"/>
                <w:b w:val="0"/>
                <w:sz w:val="18"/>
              </w:rPr>
              <w:t>Testing and refinement</w:t>
            </w:r>
          </w:p>
        </w:tc>
        <w:tc>
          <w:tcPr>
            <w:tcW w:type="dxa" w:w="4680"/>
            <w:vAlign w:val="center"/>
          </w:tcPr>
          <w:p>
            <w:pPr>
              <w:spacing w:after="0"/>
            </w:pPr>
            <w:r/>
            <w:r>
              <w:rPr>
                <w:rFonts w:ascii="Calibri" w:hAnsi="Calibri"/>
                <w:b w:val="0"/>
                <w:sz w:val="18"/>
              </w:rPr>
              <w:t>6</w:t>
            </w:r>
          </w:p>
        </w:tc>
      </w:tr>
      <w:tr>
        <w:tc>
          <w:tcPr>
            <w:tcW w:type="dxa" w:w="4680"/>
            <w:vAlign w:val="center"/>
          </w:tcPr>
          <w:p>
            <w:pPr>
              <w:spacing w:after="0"/>
            </w:pPr>
            <w:r/>
            <w:r>
              <w:rPr>
                <w:rFonts w:ascii="Calibri" w:hAnsi="Calibri"/>
                <w:b w:val="0"/>
                <w:sz w:val="18"/>
              </w:rPr>
              <w:t>Deployment</w:t>
            </w:r>
          </w:p>
        </w:tc>
        <w:tc>
          <w:tcPr>
            <w:tcW w:type="dxa" w:w="4680"/>
            <w:vAlign w:val="center"/>
          </w:tcPr>
          <w:p>
            <w:pPr>
              <w:spacing w:after="0"/>
            </w:pPr>
            <w:r/>
            <w:r>
              <w:rPr>
                <w:rFonts w:ascii="Calibri" w:hAnsi="Calibri"/>
                <w:b w:val="0"/>
                <w:sz w:val="18"/>
              </w:rPr>
              <w:t>4</w:t>
            </w:r>
          </w:p>
        </w:tc>
      </w:tr>
      <w:tr>
        <w:tc>
          <w:tcPr>
            <w:tcW w:type="dxa" w:w="4680"/>
            <w:vAlign w:val="center"/>
          </w:tcPr>
          <w:p>
            <w:pPr>
              <w:spacing w:after="0"/>
            </w:pPr>
            <w:r/>
            <w:r>
              <w:rPr>
                <w:rFonts w:ascii="Calibri" w:hAnsi="Calibri"/>
                <w:b w:val="0"/>
                <w:sz w:val="18"/>
              </w:rPr>
              <w:t>Documentation</w:t>
            </w:r>
          </w:p>
        </w:tc>
        <w:tc>
          <w:tcPr>
            <w:tcW w:type="dxa" w:w="4680"/>
            <w:vAlign w:val="center"/>
          </w:tcPr>
          <w:p>
            <w:pPr>
              <w:spacing w:after="0"/>
            </w:pPr>
            <w:r/>
            <w:r>
              <w:rPr>
                <w:rFonts w:ascii="Calibri" w:hAnsi="Calibri"/>
                <w:b w:val="0"/>
                <w:sz w:val="18"/>
              </w:rPr>
              <w:t>8</w:t>
            </w:r>
          </w:p>
        </w:tc>
      </w:tr>
      <w:tr>
        <w:tc>
          <w:tcPr>
            <w:tcW w:type="dxa" w:w="4680"/>
            <w:vAlign w:val="center"/>
          </w:tcPr>
          <w:p>
            <w:pPr>
              <w:spacing w:after="0"/>
            </w:pPr>
            <w:r/>
            <w:r>
              <w:rPr>
                <w:rFonts w:ascii="Calibri" w:hAnsi="Calibri"/>
                <w:b w:val="0"/>
                <w:sz w:val="18"/>
              </w:rPr>
              <w:t>Total</w:t>
            </w:r>
          </w:p>
        </w:tc>
        <w:tc>
          <w:tcPr>
            <w:tcW w:type="dxa" w:w="4680"/>
            <w:vAlign w:val="center"/>
          </w:tcPr>
          <w:p>
            <w:pPr>
              <w:spacing w:after="0"/>
            </w:pPr>
            <w:r/>
            <w:r>
              <w:rPr>
                <w:rFonts w:ascii="Calibri" w:hAnsi="Calibri"/>
                <w:b w:val="0"/>
                <w:sz w:val="18"/>
              </w:rPr>
              <w:t>48</w:t>
            </w:r>
          </w:p>
        </w:tc>
      </w:tr>
    </w:tbl>
    <w:p/>
    <w:p>
      <w:pPr>
        <w:pStyle w:val="Heading1"/>
      </w:pPr>
      <w:r>
        <w:t>5. Implementation and deployment</w:t>
      </w:r>
    </w:p>
    <w:p>
      <w:r>
        <w:rPr>
          <w:i w:val="0"/>
        </w:rPr>
        <w:t>Implemented features include public campaign search and SDG filtering; registration and credentials sign-in; NGO and campaign review; GHS pledge recording; donor, NGO and administrator dashboards; Zod validation; bcrypt password hashing; and database referential integrity.</w:t>
      </w:r>
    </w:p>
    <w:p>
      <w:r>
        <w:rPr>
          <w:i w:val="0"/>
        </w:rPr>
        <w:t>Deployment target: Vercel for the Next.js application and Neon for PostgreSQL. Environment variables required are DATABASE_URL, NEXTAUTH_URL, NEXTAUTH_SECRET, ADMIN_EMAIL and ADMIN_PASSWORD.</w:t>
      </w:r>
    </w:p>
    <w:p>
      <w:pPr>
        <w:pStyle w:val="Heading1"/>
      </w:pPr>
      <w:r>
        <w:t>6. Limitations, maintenance and future evolution</w:t>
      </w:r>
    </w:p>
    <w:p>
      <w:r>
        <w:rPr>
          <w:i w:val="0"/>
        </w:rPr>
        <w:t>The MVP records pledges only and does not collect payments. Campaign coordinator updates, notifications, audit logs, document uploads, multi-currency support and advanced reporting are deferred. Maintenance includes corrective fixes, adaptive dependency updates, perfective accessibility/reporting work, and preventive backups, monitoring and credential rotation.</w:t>
      </w:r>
    </w:p>
    <w:p>
      <w:r>
        <w:br w:type="page"/>
      </w:r>
    </w:p>
    <w:p>
      <w:pPr>
        <w:pStyle w:val="Heading1"/>
      </w:pPr>
      <w:r>
        <w:t>7. References</w:t>
      </w:r>
    </w:p>
    <w:p>
      <w:pPr>
        <w:pStyle w:val="ListBullet"/>
      </w:pPr>
      <w:r>
        <w:t>University of Ghana, CSCD 602 Advanced Software Engineering Project Examination, 2025/2026.</w:t>
      </w:r>
    </w:p>
    <w:p>
      <w:pPr>
        <w:pStyle w:val="ListBullet"/>
      </w:pPr>
      <w:r>
        <w:t>United Nations, Sustainable Development Goals, https://sdgs.un.org/goals.</w:t>
      </w:r>
    </w:p>
    <w:p>
      <w:pPr>
        <w:pStyle w:val="ListBullet"/>
      </w:pPr>
      <w:r>
        <w:t>Next.js Documentation, https://nextjs.org/docs.</w:t>
      </w:r>
    </w:p>
    <w:p>
      <w:pPr>
        <w:pStyle w:val="ListBullet"/>
      </w:pPr>
      <w:r>
        <w:t>Neon Documentation, https://neon.com/docs.</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University of Ghana | Department of Computer Science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PROMESA | CSCD 602 Individual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