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172033"/>
          <w:sz w:val="52"/>
        </w:rPr>
        <w:t>PROMESA</w:t>
      </w:r>
    </w:p>
    <w:p>
      <w:pPr>
        <w:spacing w:after="480"/>
        <w:jc w:val="center"/>
      </w:pPr>
      <w:r>
        <w:rPr>
          <w:color w:val="0F766E"/>
          <w:sz w:val="32"/>
        </w:rPr>
        <w:t>Software Requirements Specification (SRS)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Course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CSCD 602 Advanced Software Engineering Project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Name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name]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ID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student ID]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Submission Date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date]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rPr>
          <w:i w:val="0"/>
        </w:rPr>
        <w:t>PROMESA supports transparent SDG donation campaigns. It is a pledge-management system: it records commitments in Ghana cedi and does not process payment transactions.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24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8136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 can register with name, email, password and donor/NGO role.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Registered users can sign in and sign out using credentials.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Passwords are stored as secure bcrypt hashes; routes/actions enforce roles.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NGO users can submit one profile with contact details and primary SDG.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Administrators can approve or reject pending NGO profiles.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NGOs can submit campaigns with title, description, target, deadline and SDG.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Administrators can approve or reject pending campaigns.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Public users can search approved active campaigns by title and SDG.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FR-09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Donors can record positive GHS pledges and view pledge history.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FR-10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NGOs can view received pledges and acknowledge or fulfil them.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FR-11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Administrators can view recent users and platform submission statistics.</w:t>
            </w:r>
          </w:p>
        </w:tc>
      </w:tr>
    </w:tbl>
    <w:p/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7416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Usability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Clear responsive layout using solid neutral surfaces and accessible contrast; no decorative gradients.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Security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Bcrypt passwords, Auth.js sessions, server-side role checks and Zod validation.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Performance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Campaign pages should load promptly for a small initial dataset.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Reliability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Vercel-hosted live URL remains available for assessment.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Maintainability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TypeScript, component separation, typed schema and migration SQL support future work.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Portability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Works on current desktop and mobile browsers.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Integrity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Foreign keys link pledges to valid donors and campaigns.</w:t>
            </w:r>
          </w:p>
        </w:tc>
      </w:tr>
    </w:tbl>
    <w:p/>
    <w:p>
      <w:pPr>
        <w:pStyle w:val="Heading1"/>
      </w:pPr>
      <w:r>
        <w:t>4. Acceptance criteria</w:t>
      </w:r>
    </w:p>
    <w:p>
      <w:pPr>
        <w:pStyle w:val="ListNumber"/>
      </w:pPr>
      <w:r>
        <w:t>A donor can register, sign in, find an approved campaign and record a valid pledge.</w:t>
      </w:r>
    </w:p>
    <w:p>
      <w:pPr>
        <w:pStyle w:val="ListNumber"/>
      </w:pPr>
      <w:r>
        <w:t>An NGO cannot submit an active campaign until an administrator has approved its profile.</w:t>
      </w:r>
    </w:p>
    <w:p>
      <w:pPr>
        <w:pStyle w:val="ListNumber"/>
      </w:pPr>
      <w:r>
        <w:t>An approved, unexpired campaign appears in public results; rejected/pending campaigns do not.</w:t>
      </w:r>
    </w:p>
    <w:p>
      <w:pPr>
        <w:pStyle w:val="ListNumber"/>
      </w:pPr>
      <w:r>
        <w:t>An administrator can approve/reject submitted NGO profiles and campaigns.</w:t>
      </w:r>
    </w:p>
    <w:p>
      <w:pPr>
        <w:pStyle w:val="ListNumber"/>
      </w:pPr>
      <w:r>
        <w:t>Invalid and unauthorized mutations are rejected server-side.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University of Ghana | Department of Computer Science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PROMESA | CSCD 602 Individual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