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EB489F" w14:textId="7B1BF51D" w:rsidR="006B2997" w:rsidRDefault="006B2997">
      <w:pPr>
        <w:rPr>
          <w:b/>
          <w:bCs/>
        </w:rPr>
      </w:pPr>
      <w:r>
        <w:rPr>
          <w:b/>
          <w:bCs/>
        </w:rPr>
        <w:t>Data management project – Fall 2024</w:t>
      </w:r>
    </w:p>
    <w:p w14:paraId="5D8182CF" w14:textId="77931609" w:rsidR="006B2997" w:rsidRDefault="006B2997">
      <w:pPr>
        <w:rPr>
          <w:b/>
          <w:bCs/>
        </w:rPr>
      </w:pPr>
      <w:r>
        <w:rPr>
          <w:b/>
          <w:bCs/>
        </w:rPr>
        <w:t xml:space="preserve">Students: Andres Fiallos &amp; Blandine Ledoux </w:t>
      </w:r>
    </w:p>
    <w:p w14:paraId="748737FE" w14:textId="77777777" w:rsidR="008849FF" w:rsidRDefault="008849FF">
      <w:pPr>
        <w:rPr>
          <w:b/>
          <w:bCs/>
        </w:rPr>
      </w:pPr>
    </w:p>
    <w:p w14:paraId="68F9D9B6" w14:textId="77777777" w:rsidR="008849FF" w:rsidRDefault="00A65C06">
      <w:r w:rsidRPr="00EE1038">
        <w:rPr>
          <w:b/>
          <w:bCs/>
        </w:rPr>
        <w:t>Objective:</w:t>
      </w:r>
      <w:r>
        <w:t xml:space="preserve"> </w:t>
      </w:r>
    </w:p>
    <w:p w14:paraId="4E77189B" w14:textId="6DFBBFA3" w:rsidR="00B930A1" w:rsidRDefault="008849FF">
      <w:r w:rsidRPr="008849FF">
        <w:t xml:space="preserve">Estimate a gravity </w:t>
      </w:r>
      <w:r w:rsidRPr="00B930A1">
        <w:t xml:space="preserve">model to </w:t>
      </w:r>
      <w:proofErr w:type="spellStart"/>
      <w:r w:rsidRPr="00B930A1">
        <w:t>analyze</w:t>
      </w:r>
      <w:proofErr w:type="spellEnd"/>
      <w:r w:rsidRPr="00B930A1">
        <w:t xml:space="preserve"> the impact of internet access on intra-EU trade in digital</w:t>
      </w:r>
      <w:r w:rsidR="00B930A1" w:rsidRPr="00B930A1">
        <w:t xml:space="preserve">ly deliverable </w:t>
      </w:r>
      <w:r w:rsidRPr="00B930A1">
        <w:t>services from 2013 to 2023.</w:t>
      </w:r>
      <w:r w:rsidR="00B930A1" w:rsidRPr="00B930A1">
        <w:t xml:space="preserve"> </w:t>
      </w:r>
      <w:r w:rsidR="00B930A1" w:rsidRPr="00B930A1">
        <w:t>We chose this exercise because it involves intensive data manipulation. As outlined in the proposal, the primary goal is to assess the impact of internet access on intra-EU digital services trade. The trade data provided by the OECD does not include a specific value for digital</w:t>
      </w:r>
      <w:r w:rsidR="00B930A1" w:rsidRPr="00B930A1">
        <w:t xml:space="preserve">ly deliverable </w:t>
      </w:r>
      <w:r w:rsidR="00B930A1" w:rsidRPr="00B930A1">
        <w:t>services trade; instead, it must be computed by aggregating various trade components. Furthermore, the Eurostat data on internet coverage is not organized bilaterally, which introduces additional complexity when merging the data.</w:t>
      </w:r>
      <w:r w:rsidR="00B930A1">
        <w:t xml:space="preserve"> The data from IMF and CEPPI are also not trivial to be merge with the other datasets, as the mapping between datasets must be revised and corrected in cases of not corresponding codes (e.g. countries that change states over time, example: Yugoslavia changing to Serbia and Montenegro). </w:t>
      </w:r>
    </w:p>
    <w:p w14:paraId="4D00010A" w14:textId="3FC6A5F5" w:rsidR="00B930A1" w:rsidRDefault="00B930A1">
      <w:r w:rsidRPr="0005310D">
        <w:rPr>
          <w:highlight w:val="yellow"/>
        </w:rPr>
        <w:t>The novelty of this exercise relies in exploring a gravity model that explain</w:t>
      </w:r>
      <w:r w:rsidR="0005310D" w:rsidRPr="0005310D">
        <w:rPr>
          <w:highlight w:val="yellow"/>
        </w:rPr>
        <w:t>s</w:t>
      </w:r>
      <w:r w:rsidRPr="0005310D">
        <w:rPr>
          <w:highlight w:val="yellow"/>
        </w:rPr>
        <w:t xml:space="preserve"> </w:t>
      </w:r>
      <w:r w:rsidRPr="0005310D">
        <w:rPr>
          <w:b/>
          <w:bCs/>
          <w:highlight w:val="yellow"/>
        </w:rPr>
        <w:t>digitally deliverable trade in services</w:t>
      </w:r>
      <w:r w:rsidRPr="0005310D">
        <w:rPr>
          <w:highlight w:val="yellow"/>
        </w:rPr>
        <w:t xml:space="preserve"> by introducing a</w:t>
      </w:r>
      <w:r w:rsidR="0005310D" w:rsidRPr="0005310D">
        <w:rPr>
          <w:highlight w:val="yellow"/>
        </w:rPr>
        <w:t xml:space="preserve"> variable for internet coverage.</w:t>
      </w:r>
      <w:r w:rsidR="0005310D">
        <w:t xml:space="preserve"> </w:t>
      </w:r>
    </w:p>
    <w:p w14:paraId="2B3F78F2" w14:textId="7F42580A" w:rsidR="00A65C06" w:rsidRDefault="00A65C06">
      <w:pPr>
        <w:rPr>
          <w:b/>
          <w:bCs/>
        </w:rPr>
      </w:pPr>
      <w:r w:rsidRPr="00EE1038">
        <w:rPr>
          <w:b/>
          <w:bCs/>
        </w:rPr>
        <w:t>Inputs:</w:t>
      </w:r>
    </w:p>
    <w:tbl>
      <w:tblPr>
        <w:tblStyle w:val="TableGrid"/>
        <w:tblW w:w="0" w:type="auto"/>
        <w:tblLook w:val="04A0" w:firstRow="1" w:lastRow="0" w:firstColumn="1" w:lastColumn="0" w:noHBand="0" w:noVBand="1"/>
      </w:tblPr>
      <w:tblGrid>
        <w:gridCol w:w="2605"/>
        <w:gridCol w:w="2700"/>
        <w:gridCol w:w="4045"/>
      </w:tblGrid>
      <w:tr w:rsidR="00EE1038" w14:paraId="6E71EC75" w14:textId="77777777" w:rsidTr="00B930A1">
        <w:tc>
          <w:tcPr>
            <w:tcW w:w="2605" w:type="dxa"/>
          </w:tcPr>
          <w:p w14:paraId="66B0BD3B" w14:textId="7BDF902A" w:rsidR="00EE1038" w:rsidRDefault="00EE1038">
            <w:pPr>
              <w:rPr>
                <w:b/>
                <w:bCs/>
              </w:rPr>
            </w:pPr>
            <w:r>
              <w:rPr>
                <w:b/>
                <w:bCs/>
              </w:rPr>
              <w:t>Source</w:t>
            </w:r>
          </w:p>
        </w:tc>
        <w:tc>
          <w:tcPr>
            <w:tcW w:w="2700" w:type="dxa"/>
          </w:tcPr>
          <w:p w14:paraId="25587AF2" w14:textId="783FFE13" w:rsidR="00EE1038" w:rsidRDefault="00EE1038">
            <w:pPr>
              <w:rPr>
                <w:b/>
                <w:bCs/>
              </w:rPr>
            </w:pPr>
            <w:r>
              <w:rPr>
                <w:b/>
                <w:bCs/>
              </w:rPr>
              <w:t>Data set name</w:t>
            </w:r>
          </w:p>
        </w:tc>
        <w:tc>
          <w:tcPr>
            <w:tcW w:w="4045" w:type="dxa"/>
          </w:tcPr>
          <w:p w14:paraId="4E715FB8" w14:textId="381CE158" w:rsidR="00EE1038" w:rsidRDefault="00EE1038">
            <w:pPr>
              <w:rPr>
                <w:b/>
                <w:bCs/>
              </w:rPr>
            </w:pPr>
            <w:r>
              <w:rPr>
                <w:b/>
                <w:bCs/>
              </w:rPr>
              <w:t>Description</w:t>
            </w:r>
          </w:p>
        </w:tc>
      </w:tr>
      <w:tr w:rsidR="00EE1038" w14:paraId="296AA298" w14:textId="77777777" w:rsidTr="00B930A1">
        <w:tc>
          <w:tcPr>
            <w:tcW w:w="2605" w:type="dxa"/>
          </w:tcPr>
          <w:p w14:paraId="238943CF" w14:textId="4D09DB96" w:rsidR="00EE1038" w:rsidRPr="00EE1038" w:rsidRDefault="00EE1038">
            <w:r w:rsidRPr="00EE1038">
              <w:t>OECD</w:t>
            </w:r>
          </w:p>
        </w:tc>
        <w:tc>
          <w:tcPr>
            <w:tcW w:w="2700" w:type="dxa"/>
          </w:tcPr>
          <w:p w14:paraId="63FB270D" w14:textId="7486A0D6" w:rsidR="00EE1038" w:rsidRPr="00EE1038" w:rsidRDefault="00EE1038">
            <w:hyperlink r:id="rId5" w:history="1">
              <w:r w:rsidRPr="00EE1038">
                <w:rPr>
                  <w:rStyle w:val="Hyperlink"/>
                </w:rPr>
                <w:t>International trade in services dataset</w:t>
              </w:r>
            </w:hyperlink>
          </w:p>
        </w:tc>
        <w:tc>
          <w:tcPr>
            <w:tcW w:w="4045" w:type="dxa"/>
          </w:tcPr>
          <w:p w14:paraId="77678D7A" w14:textId="77777777" w:rsidR="00EE1038" w:rsidRPr="00EE1038" w:rsidRDefault="00EE1038" w:rsidP="00EE1038">
            <w:r w:rsidRPr="00EE1038">
              <w:t xml:space="preserve">Annual trade in services statistics in OECD countries. </w:t>
            </w:r>
          </w:p>
          <w:p w14:paraId="3516092C" w14:textId="77777777" w:rsidR="00EE1038" w:rsidRPr="00EE1038" w:rsidRDefault="00EE1038"/>
        </w:tc>
      </w:tr>
      <w:tr w:rsidR="00EE1038" w14:paraId="757D3C7D" w14:textId="77777777" w:rsidTr="00B930A1">
        <w:tc>
          <w:tcPr>
            <w:tcW w:w="2605" w:type="dxa"/>
          </w:tcPr>
          <w:p w14:paraId="52EDB397" w14:textId="0D50336E" w:rsidR="00EE1038" w:rsidRPr="00EE1038" w:rsidRDefault="00EE1038">
            <w:r w:rsidRPr="00EE1038">
              <w:rPr>
                <w:lang w:val="en-US"/>
              </w:rPr>
              <w:t>EUROSTAT</w:t>
            </w:r>
          </w:p>
        </w:tc>
        <w:tc>
          <w:tcPr>
            <w:tcW w:w="2700" w:type="dxa"/>
          </w:tcPr>
          <w:p w14:paraId="040F8538" w14:textId="1DE85D74" w:rsidR="00EE1038" w:rsidRPr="00EE1038" w:rsidRDefault="00EE1038">
            <w:hyperlink r:id="rId6" w:history="1">
              <w:r w:rsidRPr="00A65C06">
                <w:rPr>
                  <w:rStyle w:val="Hyperlink"/>
                  <w:lang w:val="en-US"/>
                </w:rPr>
                <w:t>Broadband internet coverage by speed</w:t>
              </w:r>
            </w:hyperlink>
          </w:p>
        </w:tc>
        <w:tc>
          <w:tcPr>
            <w:tcW w:w="4045" w:type="dxa"/>
          </w:tcPr>
          <w:p w14:paraId="513DC0A0" w14:textId="56CDE0B9" w:rsidR="00EE1038" w:rsidRPr="00EE1038" w:rsidRDefault="00EE1038" w:rsidP="00EE1038">
            <w:pPr>
              <w:rPr>
                <w:lang w:val="en-US"/>
              </w:rPr>
            </w:pPr>
            <w:r w:rsidRPr="00EE1038">
              <w:rPr>
                <w:lang w:val="en-US"/>
              </w:rPr>
              <w:t xml:space="preserve">Annual percentage of households with 100 </w:t>
            </w:r>
            <w:proofErr w:type="spellStart"/>
            <w:r w:rsidRPr="00EE1038">
              <w:rPr>
                <w:lang w:val="en-US"/>
              </w:rPr>
              <w:t>mbs</w:t>
            </w:r>
            <w:proofErr w:type="spellEnd"/>
            <w:r w:rsidRPr="00EE1038">
              <w:rPr>
                <w:lang w:val="en-US"/>
              </w:rPr>
              <w:t xml:space="preserve"> or higher internet connection</w:t>
            </w:r>
            <w:r w:rsidR="00F978E6">
              <w:rPr>
                <w:lang w:val="en-US"/>
              </w:rPr>
              <w:t>.</w:t>
            </w:r>
          </w:p>
          <w:p w14:paraId="62767541" w14:textId="77777777" w:rsidR="00EE1038" w:rsidRPr="00EE1038" w:rsidRDefault="00EE1038">
            <w:pPr>
              <w:rPr>
                <w:lang w:val="en-US"/>
              </w:rPr>
            </w:pPr>
          </w:p>
        </w:tc>
      </w:tr>
      <w:tr w:rsidR="00EE1038" w14:paraId="6B4703C7" w14:textId="77777777" w:rsidTr="00B930A1">
        <w:tc>
          <w:tcPr>
            <w:tcW w:w="2605" w:type="dxa"/>
          </w:tcPr>
          <w:p w14:paraId="60868D9B" w14:textId="3DF0DF8F" w:rsidR="00EE1038" w:rsidRPr="00EE1038" w:rsidRDefault="00EE1038">
            <w:pPr>
              <w:rPr>
                <w:lang w:val="fr-FR"/>
              </w:rPr>
            </w:pPr>
            <w:r w:rsidRPr="00EE1038">
              <w:rPr>
                <w:lang w:val="fr-FR"/>
              </w:rPr>
              <w:t>Centre d'études prospectives et d'informations internationales (CEPII)</w:t>
            </w:r>
          </w:p>
        </w:tc>
        <w:tc>
          <w:tcPr>
            <w:tcW w:w="2700" w:type="dxa"/>
          </w:tcPr>
          <w:p w14:paraId="24F35970" w14:textId="548DEE7F" w:rsidR="00EE1038" w:rsidRPr="00EE1038" w:rsidRDefault="00EE1038">
            <w:hyperlink r:id="rId7" w:history="1">
              <w:r w:rsidRPr="00EE1038">
                <w:rPr>
                  <w:rStyle w:val="Hyperlink"/>
                </w:rPr>
                <w:t>The CEPII Gravity database</w:t>
              </w:r>
            </w:hyperlink>
          </w:p>
        </w:tc>
        <w:tc>
          <w:tcPr>
            <w:tcW w:w="4045" w:type="dxa"/>
          </w:tcPr>
          <w:p w14:paraId="2BB1A534" w14:textId="77777777" w:rsidR="00EE1038" w:rsidRPr="00EE1038" w:rsidRDefault="00EE1038" w:rsidP="00EE1038">
            <w:pPr>
              <w:rPr>
                <w:lang w:val="en-US"/>
              </w:rPr>
            </w:pPr>
            <w:r w:rsidRPr="00EE1038">
              <w:t>For any pair of countries, from 1948 to 2020, Gravity provides all the information required to estimate gravity equations: trade flows, geographical distances, trade facilitation measures, macroeconomic indicators, etc...</w:t>
            </w:r>
          </w:p>
          <w:p w14:paraId="26BAE745" w14:textId="77777777" w:rsidR="00EE1038" w:rsidRPr="00EE1038" w:rsidRDefault="00EE1038">
            <w:pPr>
              <w:rPr>
                <w:lang w:val="en-US"/>
              </w:rPr>
            </w:pPr>
          </w:p>
        </w:tc>
      </w:tr>
      <w:tr w:rsidR="00B930A1" w14:paraId="747BFC9E" w14:textId="77777777" w:rsidTr="00B930A1">
        <w:tc>
          <w:tcPr>
            <w:tcW w:w="2605" w:type="dxa"/>
          </w:tcPr>
          <w:p w14:paraId="5A51946F" w14:textId="63F2B370" w:rsidR="00B930A1" w:rsidRPr="00B930A1" w:rsidRDefault="00B930A1">
            <w:pPr>
              <w:rPr>
                <w:lang w:val="en-US"/>
              </w:rPr>
            </w:pPr>
            <w:r>
              <w:rPr>
                <w:lang w:val="en-US"/>
              </w:rPr>
              <w:t>IMF</w:t>
            </w:r>
          </w:p>
        </w:tc>
        <w:tc>
          <w:tcPr>
            <w:tcW w:w="2700" w:type="dxa"/>
          </w:tcPr>
          <w:p w14:paraId="06B8493C" w14:textId="2EC6D336" w:rsidR="00B930A1" w:rsidRDefault="00B930A1">
            <w:r w:rsidRPr="00B930A1">
              <w:t> </w:t>
            </w:r>
            <w:hyperlink r:id="rId8" w:history="1">
              <w:r w:rsidRPr="00B930A1">
                <w:rPr>
                  <w:rStyle w:val="Hyperlink"/>
                </w:rPr>
                <w:t>Wo</w:t>
              </w:r>
              <w:r w:rsidRPr="00B930A1">
                <w:rPr>
                  <w:rStyle w:val="Hyperlink"/>
                </w:rPr>
                <w:t>r</w:t>
              </w:r>
              <w:r w:rsidRPr="00B930A1">
                <w:rPr>
                  <w:rStyle w:val="Hyperlink"/>
                </w:rPr>
                <w:t>ld Economic Outlook 2024</w:t>
              </w:r>
            </w:hyperlink>
          </w:p>
        </w:tc>
        <w:tc>
          <w:tcPr>
            <w:tcW w:w="4045" w:type="dxa"/>
          </w:tcPr>
          <w:p w14:paraId="66DE2D47" w14:textId="5ECD4D0D" w:rsidR="00B930A1" w:rsidRPr="00EE1038" w:rsidRDefault="00B930A1" w:rsidP="00EE1038">
            <w:r w:rsidRPr="00B930A1">
              <w:t xml:space="preserve">The World Economic Outlook (WEO) is a survey of prospects and policies by the IMF staff, usually published </w:t>
            </w:r>
            <w:r w:rsidRPr="00B930A1">
              <w:lastRenderedPageBreak/>
              <w:t>twice a year, with updates in between. It presents analyses and projections of the world economy in the near and medium term, which are integral elements of the IMF’s surveillance of economic developments and policies in its member countries and of the global economic system.</w:t>
            </w:r>
          </w:p>
        </w:tc>
      </w:tr>
    </w:tbl>
    <w:p w14:paraId="3DFCB602" w14:textId="77777777" w:rsidR="00EE1038" w:rsidRPr="00EE1038" w:rsidRDefault="00EE1038">
      <w:pPr>
        <w:rPr>
          <w:b/>
          <w:bCs/>
        </w:rPr>
      </w:pPr>
    </w:p>
    <w:p w14:paraId="0FDF148B" w14:textId="77777777" w:rsidR="00EE1038" w:rsidRDefault="00D5697C" w:rsidP="00D5697C">
      <w:pPr>
        <w:rPr>
          <w:b/>
          <w:bCs/>
          <w:lang w:val="en-US"/>
        </w:rPr>
      </w:pPr>
      <w:r>
        <w:rPr>
          <w:b/>
          <w:bCs/>
          <w:lang w:val="en-US"/>
        </w:rPr>
        <w:t>Estimation technique:</w:t>
      </w:r>
    </w:p>
    <w:p w14:paraId="3245D845" w14:textId="7DACA221" w:rsidR="00D5697C" w:rsidRDefault="00D5697C" w:rsidP="00D5697C">
      <w:pPr>
        <w:rPr>
          <w:lang w:val="en-US"/>
        </w:rPr>
      </w:pPr>
      <w:r>
        <w:rPr>
          <w:b/>
          <w:bCs/>
          <w:lang w:val="en-US"/>
        </w:rPr>
        <w:t xml:space="preserve">Generalized Linear model: </w:t>
      </w:r>
      <w:proofErr w:type="spellStart"/>
      <w:proofErr w:type="gramStart"/>
      <w:r w:rsidR="00EE1038" w:rsidRPr="00D5697C">
        <w:rPr>
          <w:lang w:val="en-US"/>
        </w:rPr>
        <w:t>glm</w:t>
      </w:r>
      <w:proofErr w:type="spellEnd"/>
      <w:r w:rsidR="00EE1038" w:rsidRPr="00D5697C">
        <w:rPr>
          <w:lang w:val="en-US"/>
        </w:rPr>
        <w:t>(</w:t>
      </w:r>
      <w:proofErr w:type="gramEnd"/>
      <w:r w:rsidR="00F978E6">
        <w:rPr>
          <w:lang w:val="en-US"/>
        </w:rPr>
        <w:t>.,</w:t>
      </w:r>
      <w:r w:rsidR="00EE1038">
        <w:rPr>
          <w:lang w:val="en-US"/>
        </w:rPr>
        <w:t xml:space="preserve"> </w:t>
      </w:r>
      <w:r w:rsidRPr="00D5697C">
        <w:rPr>
          <w:lang w:val="en-US"/>
        </w:rPr>
        <w:t xml:space="preserve">family = </w:t>
      </w:r>
      <w:proofErr w:type="spellStart"/>
      <w:r w:rsidRPr="00D5697C">
        <w:rPr>
          <w:lang w:val="en-US"/>
        </w:rPr>
        <w:t>poisson</w:t>
      </w:r>
      <w:proofErr w:type="spellEnd"/>
      <w:r w:rsidR="00EE1038">
        <w:rPr>
          <w:lang w:val="en-US"/>
        </w:rPr>
        <w:t xml:space="preserve">). </w:t>
      </w:r>
      <w:r w:rsidRPr="00D5697C">
        <w:rPr>
          <w:lang w:val="en-US"/>
        </w:rPr>
        <w:t>This is especially useful when dealing with count data or data with large variation in trade volumes (e.g., many zero trade flows or very high flows).</w:t>
      </w:r>
    </w:p>
    <w:p w14:paraId="4F465EAA" w14:textId="77777777" w:rsidR="00F978E6" w:rsidRPr="00D5697C" w:rsidRDefault="00F978E6" w:rsidP="00D5697C">
      <w:pPr>
        <w:rPr>
          <w:b/>
          <w:bCs/>
          <w:lang w:val="en-US"/>
        </w:rPr>
      </w:pPr>
    </w:p>
    <w:p w14:paraId="59E0F5FA" w14:textId="620E2DB3" w:rsidR="00A65C06" w:rsidRPr="00EE1038" w:rsidRDefault="00D5697C">
      <w:pPr>
        <w:rPr>
          <w:b/>
          <w:bCs/>
        </w:rPr>
      </w:pPr>
      <w:r w:rsidRPr="00EE1038">
        <w:rPr>
          <w:b/>
          <w:bCs/>
        </w:rPr>
        <w:t xml:space="preserve">Model: </w:t>
      </w:r>
    </w:p>
    <w:p w14:paraId="66FD9ED7" w14:textId="279E9EC5" w:rsidR="00D5697C" w:rsidRDefault="00EE1038" w:rsidP="00E75A5D">
      <w:pPr>
        <w:jc w:val="center"/>
        <w:rPr>
          <w:rFonts w:ascii="Cambria Math" w:hAnsi="Cambria Math" w:cs="Cambria Math"/>
          <w:noProof/>
        </w:rPr>
      </w:pPr>
      <w:r w:rsidRPr="00E75A5D">
        <w:rPr>
          <w:rFonts w:ascii="Cambria Math" w:hAnsi="Cambria Math" w:cs="Cambria Math"/>
          <w:b/>
          <w:bCs/>
          <w:noProof/>
        </w:rPr>
        <w:t>digital_trade_</w:t>
      </w:r>
      <w:r w:rsidR="00D5697C" w:rsidRPr="00E75A5D">
        <w:rPr>
          <w:rFonts w:ascii="Cambria Math" w:hAnsi="Cambria Math" w:cs="Cambria Math"/>
          <w:b/>
          <w:bCs/>
          <w:noProof/>
        </w:rPr>
        <w:t>𝑖𝑗𝑡</w:t>
      </w:r>
      <w:r w:rsidR="00D5697C" w:rsidRPr="00EE1038">
        <w:rPr>
          <w:noProof/>
        </w:rPr>
        <w:t xml:space="preserve"> = </w:t>
      </w:r>
      <w:r w:rsidR="00D5697C" w:rsidRPr="00EE1038">
        <w:rPr>
          <w:rFonts w:ascii="Cambria Math" w:hAnsi="Cambria Math" w:cs="Cambria Math"/>
          <w:noProof/>
        </w:rPr>
        <w:t>𝛽</w:t>
      </w:r>
      <w:r w:rsidR="00D5697C" w:rsidRPr="00EE1038">
        <w:rPr>
          <w:noProof/>
        </w:rPr>
        <w:t xml:space="preserve">0 + </w:t>
      </w:r>
      <w:r w:rsidR="00D5697C" w:rsidRPr="00EE1038">
        <w:rPr>
          <w:rFonts w:ascii="Cambria Math" w:hAnsi="Cambria Math" w:cs="Cambria Math"/>
          <w:noProof/>
        </w:rPr>
        <w:t>𝛽</w:t>
      </w:r>
      <w:r>
        <w:rPr>
          <w:noProof/>
        </w:rPr>
        <w:t>1</w:t>
      </w:r>
      <w:r w:rsidRPr="00EE1038">
        <w:rPr>
          <w:rFonts w:cs="Cambria Math"/>
          <w:noProof/>
        </w:rPr>
        <w:t xml:space="preserve"> distance_</w:t>
      </w:r>
      <w:r w:rsidR="00D5697C" w:rsidRPr="00EE1038">
        <w:rPr>
          <w:rFonts w:ascii="Cambria Math" w:hAnsi="Cambria Math" w:cs="Cambria Math"/>
          <w:noProof/>
        </w:rPr>
        <w:t>𝑖𝑗</w:t>
      </w:r>
      <w:r w:rsidR="00D5697C" w:rsidRPr="00EE1038">
        <w:rPr>
          <w:noProof/>
        </w:rPr>
        <w:t xml:space="preserve">  + </w:t>
      </w:r>
      <w:r w:rsidR="00D5697C" w:rsidRPr="00EE1038">
        <w:rPr>
          <w:rFonts w:ascii="Cambria Math" w:hAnsi="Cambria Math" w:cs="Cambria Math"/>
          <w:noProof/>
        </w:rPr>
        <w:t>𝛽</w:t>
      </w:r>
      <w:r>
        <w:rPr>
          <w:noProof/>
        </w:rPr>
        <w:t xml:space="preserve">2 </w:t>
      </w:r>
      <w:r w:rsidRPr="00EE1038">
        <w:rPr>
          <w:rFonts w:cs="Cambria Math"/>
          <w:noProof/>
        </w:rPr>
        <w:t>gdp_pc_</w:t>
      </w:r>
      <w:r w:rsidR="00D5697C" w:rsidRPr="00EE1038">
        <w:rPr>
          <w:rFonts w:ascii="Cambria Math" w:hAnsi="Cambria Math" w:cs="Cambria Math"/>
          <w:noProof/>
        </w:rPr>
        <w:t>𝑖𝑡</w:t>
      </w:r>
      <w:r w:rsidR="00D5697C" w:rsidRPr="00EE1038">
        <w:rPr>
          <w:noProof/>
        </w:rPr>
        <w:t xml:space="preserve"> + </w:t>
      </w:r>
      <w:r w:rsidR="00D5697C" w:rsidRPr="00EE1038">
        <w:rPr>
          <w:rFonts w:ascii="Cambria Math" w:hAnsi="Cambria Math" w:cs="Cambria Math"/>
          <w:noProof/>
        </w:rPr>
        <w:t>𝛽</w:t>
      </w:r>
      <w:r>
        <w:rPr>
          <w:noProof/>
        </w:rPr>
        <w:t>3</w:t>
      </w:r>
      <w:r w:rsidRPr="00EE1038">
        <w:rPr>
          <w:noProof/>
        </w:rPr>
        <w:t xml:space="preserve"> gdp_pc </w:t>
      </w:r>
      <w:r w:rsidRPr="00EE1038">
        <w:rPr>
          <w:rFonts w:cs="Cambria Math"/>
          <w:noProof/>
        </w:rPr>
        <w:t>_</w:t>
      </w:r>
      <w:r w:rsidR="00D5697C" w:rsidRPr="00EE1038">
        <w:rPr>
          <w:rFonts w:ascii="Cambria Math" w:hAnsi="Cambria Math" w:cs="Cambria Math"/>
          <w:noProof/>
        </w:rPr>
        <w:t>𝑗𝑡</w:t>
      </w:r>
      <w:r w:rsidR="00D5697C" w:rsidRPr="00EE1038">
        <w:rPr>
          <w:noProof/>
        </w:rPr>
        <w:t xml:space="preserve"> + </w:t>
      </w:r>
      <w:r w:rsidR="00D5697C" w:rsidRPr="00EE1038">
        <w:rPr>
          <w:rFonts w:ascii="Cambria Math" w:hAnsi="Cambria Math" w:cs="Cambria Math"/>
          <w:noProof/>
        </w:rPr>
        <w:t>𝛽</w:t>
      </w:r>
      <w:r>
        <w:rPr>
          <w:noProof/>
        </w:rPr>
        <w:t xml:space="preserve">4 </w:t>
      </w:r>
      <w:r w:rsidRPr="00EE1038">
        <w:rPr>
          <w:noProof/>
        </w:rPr>
        <w:t>factor(</w:t>
      </w:r>
      <w:r w:rsidRPr="00EE1038">
        <w:rPr>
          <w:rFonts w:cs="Cambria Math"/>
          <w:noProof/>
        </w:rPr>
        <w:t>year_</w:t>
      </w:r>
      <w:r w:rsidR="00D5697C" w:rsidRPr="00EE1038">
        <w:rPr>
          <w:rFonts w:ascii="Cambria Math" w:hAnsi="Cambria Math" w:cs="Cambria Math"/>
          <w:noProof/>
        </w:rPr>
        <w:t>𝑡</w:t>
      </w:r>
      <w:r w:rsidRPr="00EE1038">
        <w:rPr>
          <w:rFonts w:cs="Cambria Math"/>
          <w:noProof/>
        </w:rPr>
        <w:t>)</w:t>
      </w:r>
      <w:r w:rsidR="00D5697C" w:rsidRPr="00EE1038">
        <w:rPr>
          <w:noProof/>
        </w:rPr>
        <w:t xml:space="preserve"> + </w:t>
      </w:r>
      <w:r w:rsidR="00D5697C" w:rsidRPr="00EE1038">
        <w:rPr>
          <w:rFonts w:ascii="Cambria Math" w:hAnsi="Cambria Math" w:cs="Cambria Math"/>
          <w:noProof/>
        </w:rPr>
        <w:t>𝛽</w:t>
      </w:r>
      <w:r w:rsidR="00E75A5D">
        <w:rPr>
          <w:noProof/>
        </w:rPr>
        <w:t xml:space="preserve">5 </w:t>
      </w:r>
      <w:r w:rsidR="00E75A5D" w:rsidRPr="00E75A5D">
        <w:rPr>
          <w:rFonts w:cs="Cambria Math"/>
          <w:noProof/>
        </w:rPr>
        <w:t xml:space="preserve">same_continent </w:t>
      </w:r>
      <w:r w:rsidRPr="00EE1038">
        <w:rPr>
          <w:rFonts w:cs="Cambria Math"/>
          <w:noProof/>
        </w:rPr>
        <w:t>_</w:t>
      </w:r>
      <w:r w:rsidR="00D5697C" w:rsidRPr="00EE1038">
        <w:rPr>
          <w:rFonts w:ascii="Cambria Math" w:hAnsi="Cambria Math" w:cs="Cambria Math"/>
          <w:noProof/>
        </w:rPr>
        <w:t>𝑖𝑗</w:t>
      </w:r>
      <w:r w:rsidR="00D5697C" w:rsidRPr="00EE1038">
        <w:rPr>
          <w:noProof/>
        </w:rPr>
        <w:t xml:space="preserve"> + </w:t>
      </w:r>
      <w:r w:rsidR="00E75A5D" w:rsidRPr="00EE1038">
        <w:rPr>
          <w:rFonts w:ascii="Cambria Math" w:hAnsi="Cambria Math" w:cs="Cambria Math"/>
          <w:noProof/>
        </w:rPr>
        <w:t>𝛽</w:t>
      </w:r>
      <w:r w:rsidR="00E75A5D">
        <w:rPr>
          <w:noProof/>
        </w:rPr>
        <w:t>6</w:t>
      </w:r>
      <w:r w:rsidR="00E75A5D">
        <w:rPr>
          <w:rFonts w:ascii="Cambria Math" w:hAnsi="Cambria Math" w:cs="Cambria Math"/>
          <w:noProof/>
        </w:rPr>
        <w:t xml:space="preserve"> </w:t>
      </w:r>
      <w:r w:rsidR="00E75A5D" w:rsidRPr="00E75A5D">
        <w:rPr>
          <w:rFonts w:cs="Cambria Math"/>
          <w:noProof/>
        </w:rPr>
        <w:t>contiguity</w:t>
      </w:r>
      <w:r w:rsidRPr="00EE1038">
        <w:rPr>
          <w:rFonts w:cs="Cambria Math"/>
          <w:noProof/>
        </w:rPr>
        <w:t>_</w:t>
      </w:r>
      <w:r w:rsidR="00D5697C" w:rsidRPr="00EE1038">
        <w:rPr>
          <w:rFonts w:ascii="Cambria Math" w:hAnsi="Cambria Math" w:cs="Cambria Math"/>
          <w:noProof/>
        </w:rPr>
        <w:t>𝑖𝑗</w:t>
      </w:r>
      <w:r w:rsidR="00D5697C" w:rsidRPr="00EE1038">
        <w:rPr>
          <w:noProof/>
        </w:rPr>
        <w:t xml:space="preserve"> + </w:t>
      </w:r>
      <w:r w:rsidR="00E75A5D" w:rsidRPr="00EE1038">
        <w:rPr>
          <w:rFonts w:ascii="Cambria Math" w:hAnsi="Cambria Math" w:cs="Cambria Math"/>
          <w:noProof/>
        </w:rPr>
        <w:t>𝛽</w:t>
      </w:r>
      <w:r w:rsidR="00E75A5D">
        <w:rPr>
          <w:rFonts w:ascii="Cambria Math" w:hAnsi="Cambria Math" w:cs="Cambria Math"/>
          <w:noProof/>
        </w:rPr>
        <w:t>7</w:t>
      </w:r>
      <w:r w:rsidR="00E75A5D">
        <w:rPr>
          <w:noProof/>
        </w:rPr>
        <w:t xml:space="preserve"> </w:t>
      </w:r>
      <w:r w:rsidR="00D5697C" w:rsidRPr="00EE1038">
        <w:rPr>
          <w:noProof/>
        </w:rPr>
        <w:t>common_language</w:t>
      </w:r>
      <w:r w:rsidRPr="00EE1038">
        <w:rPr>
          <w:noProof/>
        </w:rPr>
        <w:t>_</w:t>
      </w:r>
      <w:r w:rsidRPr="00EE1038">
        <w:rPr>
          <w:rFonts w:ascii="Cambria Math" w:hAnsi="Cambria Math" w:cs="Cambria Math"/>
          <w:noProof/>
        </w:rPr>
        <w:t>𝑖𝑗</w:t>
      </w:r>
      <w:r w:rsidRPr="00EE1038">
        <w:rPr>
          <w:noProof/>
        </w:rPr>
        <w:t xml:space="preserve"> </w:t>
      </w:r>
      <w:r w:rsidR="00D5697C" w:rsidRPr="00EE1038">
        <w:rPr>
          <w:noProof/>
        </w:rPr>
        <w:t>+</w:t>
      </w:r>
      <w:r w:rsidR="00E75A5D">
        <w:rPr>
          <w:noProof/>
        </w:rPr>
        <w:t xml:space="preserve">                                           </w:t>
      </w:r>
      <w:r w:rsidR="00D5697C" w:rsidRPr="00EE1038">
        <w:rPr>
          <w:noProof/>
        </w:rPr>
        <w:t xml:space="preserve"> </w:t>
      </w:r>
      <w:r w:rsidR="00E75A5D" w:rsidRPr="00EE1038">
        <w:rPr>
          <w:rFonts w:ascii="Cambria Math" w:hAnsi="Cambria Math" w:cs="Cambria Math"/>
          <w:noProof/>
        </w:rPr>
        <w:t>𝛽</w:t>
      </w:r>
      <w:r w:rsidR="00E75A5D">
        <w:rPr>
          <w:noProof/>
        </w:rPr>
        <w:t xml:space="preserve">8 </w:t>
      </w:r>
      <w:r w:rsidR="00D5697C" w:rsidRPr="00EE1038">
        <w:rPr>
          <w:noProof/>
        </w:rPr>
        <w:t>digital_serv_world</w:t>
      </w:r>
      <w:r w:rsidRPr="00EE1038">
        <w:rPr>
          <w:noProof/>
        </w:rPr>
        <w:t>_</w:t>
      </w:r>
      <w:r w:rsidRPr="00EE1038">
        <w:rPr>
          <w:rFonts w:ascii="Cambria Math" w:hAnsi="Cambria Math" w:cs="Cambria Math"/>
          <w:noProof/>
        </w:rPr>
        <w:t>𝑖𝑡</w:t>
      </w:r>
      <w:r w:rsidR="00D5697C" w:rsidRPr="00EE1038">
        <w:rPr>
          <w:noProof/>
        </w:rPr>
        <w:t xml:space="preserve"> + </w:t>
      </w:r>
      <w:r w:rsidR="00E75A5D" w:rsidRPr="00EE1038">
        <w:rPr>
          <w:rFonts w:ascii="Cambria Math" w:hAnsi="Cambria Math" w:cs="Cambria Math"/>
          <w:noProof/>
        </w:rPr>
        <w:t>𝛽</w:t>
      </w:r>
      <w:r w:rsidR="00E75A5D">
        <w:rPr>
          <w:noProof/>
        </w:rPr>
        <w:t xml:space="preserve">9 </w:t>
      </w:r>
      <w:r w:rsidRPr="00EE1038">
        <w:rPr>
          <w:noProof/>
        </w:rPr>
        <w:t>digital_serv_world_</w:t>
      </w:r>
      <w:r w:rsidR="00E75A5D" w:rsidRPr="00E75A5D">
        <w:rPr>
          <w:rFonts w:ascii="Cambria Math" w:hAnsi="Cambria Math" w:cs="Cambria Math"/>
          <w:noProof/>
        </w:rPr>
        <w:t xml:space="preserve"> </w:t>
      </w:r>
      <w:r w:rsidR="00E75A5D" w:rsidRPr="00EE1038">
        <w:rPr>
          <w:rFonts w:ascii="Cambria Math" w:hAnsi="Cambria Math" w:cs="Cambria Math"/>
          <w:noProof/>
        </w:rPr>
        <w:t>𝑗𝑡</w:t>
      </w:r>
      <w:r w:rsidRPr="00EE1038">
        <w:rPr>
          <w:noProof/>
        </w:rPr>
        <w:t xml:space="preserve"> + </w:t>
      </w:r>
      <w:r w:rsidR="00E75A5D" w:rsidRPr="00EE1038">
        <w:rPr>
          <w:rFonts w:ascii="Cambria Math" w:hAnsi="Cambria Math" w:cs="Cambria Math"/>
          <w:noProof/>
        </w:rPr>
        <w:t>𝛽</w:t>
      </w:r>
      <w:r w:rsidR="00E75A5D">
        <w:rPr>
          <w:noProof/>
        </w:rPr>
        <w:t xml:space="preserve">10 </w:t>
      </w:r>
      <w:r w:rsidRPr="00EE1038">
        <w:rPr>
          <w:noProof/>
        </w:rPr>
        <w:t xml:space="preserve">factor(partner) + </w:t>
      </w:r>
      <w:r w:rsidR="00E75A5D">
        <w:rPr>
          <w:noProof/>
        </w:rPr>
        <w:t xml:space="preserve">                                  </w:t>
      </w:r>
      <w:r w:rsidR="00E75A5D" w:rsidRPr="00B930A1">
        <w:rPr>
          <w:rFonts w:ascii="Cambria Math" w:hAnsi="Cambria Math" w:cs="Cambria Math"/>
          <w:b/>
          <w:bCs/>
          <w:noProof/>
        </w:rPr>
        <w:t>𝛽</w:t>
      </w:r>
      <w:r w:rsidR="00E75A5D" w:rsidRPr="00B930A1">
        <w:rPr>
          <w:b/>
          <w:bCs/>
          <w:noProof/>
        </w:rPr>
        <w:t xml:space="preserve">11 </w:t>
      </w:r>
      <w:r w:rsidRPr="00B930A1">
        <w:rPr>
          <w:b/>
          <w:bCs/>
          <w:noProof/>
        </w:rPr>
        <w:t>internet_coverage_</w:t>
      </w:r>
      <w:r w:rsidR="00E75A5D" w:rsidRPr="00B930A1">
        <w:rPr>
          <w:rFonts w:ascii="Cambria Math" w:hAnsi="Cambria Math" w:cs="Cambria Math"/>
          <w:b/>
          <w:bCs/>
          <w:noProof/>
        </w:rPr>
        <w:t xml:space="preserve"> 𝑖𝑡</w:t>
      </w:r>
      <w:r w:rsidRPr="00EE1038">
        <w:rPr>
          <w:noProof/>
        </w:rPr>
        <w:t xml:space="preserve"> + </w:t>
      </w:r>
      <w:r w:rsidR="00E75A5D" w:rsidRPr="00B930A1">
        <w:rPr>
          <w:rFonts w:ascii="Cambria Math" w:hAnsi="Cambria Math" w:cs="Cambria Math"/>
          <w:b/>
          <w:bCs/>
          <w:noProof/>
        </w:rPr>
        <w:t>𝛽</w:t>
      </w:r>
      <w:r w:rsidR="00E75A5D" w:rsidRPr="00B930A1">
        <w:rPr>
          <w:b/>
          <w:bCs/>
          <w:noProof/>
        </w:rPr>
        <w:t xml:space="preserve">12  </w:t>
      </w:r>
      <w:r w:rsidRPr="00B930A1">
        <w:rPr>
          <w:b/>
          <w:bCs/>
          <w:noProof/>
        </w:rPr>
        <w:t>internet_coverage_</w:t>
      </w:r>
      <w:r w:rsidR="00E75A5D" w:rsidRPr="00B930A1">
        <w:rPr>
          <w:rFonts w:ascii="Cambria Math" w:hAnsi="Cambria Math" w:cs="Cambria Math"/>
          <w:b/>
          <w:bCs/>
          <w:noProof/>
        </w:rPr>
        <w:t xml:space="preserve"> 𝑗𝑡</w:t>
      </w:r>
      <w:r w:rsidRPr="00EE1038">
        <w:rPr>
          <w:noProof/>
        </w:rPr>
        <w:t xml:space="preserve"> +</w:t>
      </w:r>
      <w:r w:rsidRPr="00EE1038">
        <w:rPr>
          <w:rFonts w:ascii="Cambria Math" w:hAnsi="Cambria Math" w:cs="Cambria Math"/>
          <w:noProof/>
        </w:rPr>
        <w:t>𝜀𝑖𝑗</w:t>
      </w:r>
    </w:p>
    <w:p w14:paraId="65049CB7" w14:textId="7CFCF6A9" w:rsidR="00E75A5D" w:rsidRPr="00BE72C6" w:rsidRDefault="00E75A5D">
      <w:pPr>
        <w:rPr>
          <w:lang w:val="en-US"/>
        </w:rPr>
      </w:pPr>
      <w:r w:rsidRPr="00BE72C6">
        <w:rPr>
          <w:lang w:val="en-US"/>
        </w:rPr>
        <w:t>Where:</w:t>
      </w:r>
    </w:p>
    <w:p w14:paraId="354E32F7" w14:textId="0CE520AF" w:rsidR="00E75A5D" w:rsidRPr="00BE72C6" w:rsidRDefault="00E75A5D" w:rsidP="00E75A5D">
      <w:pPr>
        <w:pStyle w:val="ListParagraph"/>
        <w:numPr>
          <w:ilvl w:val="0"/>
          <w:numId w:val="1"/>
        </w:numPr>
        <w:rPr>
          <w:rFonts w:ascii="Cambria Math" w:hAnsi="Cambria Math" w:cs="Cambria Math"/>
          <w:sz w:val="22"/>
          <w:szCs w:val="22"/>
          <w:lang w:val="en-US"/>
        </w:rPr>
      </w:pPr>
      <w:proofErr w:type="spellStart"/>
      <w:r w:rsidRPr="00BE72C6">
        <w:rPr>
          <w:sz w:val="22"/>
          <w:szCs w:val="22"/>
          <w:lang w:val="en-US"/>
        </w:rPr>
        <w:t>digital_trade</w:t>
      </w:r>
      <w:proofErr w:type="spellEnd"/>
      <w:r w:rsidRPr="00BE72C6">
        <w:rPr>
          <w:sz w:val="22"/>
          <w:szCs w:val="22"/>
          <w:lang w:val="en-US"/>
        </w:rPr>
        <w:t>_</w:t>
      </w:r>
      <w:r w:rsidRPr="00BE72C6">
        <w:rPr>
          <w:rFonts w:ascii="Cambria Math" w:hAnsi="Cambria Math" w:cs="Cambria Math"/>
          <w:sz w:val="22"/>
          <w:szCs w:val="22"/>
          <w:lang w:val="en-US"/>
        </w:rPr>
        <w:t>𝑖𝑗𝑡</w:t>
      </w:r>
      <w:r w:rsidRPr="00BE72C6">
        <w:rPr>
          <w:sz w:val="22"/>
          <w:szCs w:val="22"/>
          <w:lang w:val="en-US"/>
        </w:rPr>
        <w:t xml:space="preserve"> = bilateral digital</w:t>
      </w:r>
      <w:r w:rsidR="00B930A1">
        <w:rPr>
          <w:sz w:val="22"/>
          <w:szCs w:val="22"/>
          <w:lang w:val="en-US"/>
        </w:rPr>
        <w:t>ly deliverable</w:t>
      </w:r>
      <w:r w:rsidRPr="00BE72C6">
        <w:rPr>
          <w:sz w:val="22"/>
          <w:szCs w:val="22"/>
          <w:lang w:val="en-US"/>
        </w:rPr>
        <w:t xml:space="preserve"> trade between country </w:t>
      </w:r>
      <w:proofErr w:type="spellStart"/>
      <w:r w:rsidRPr="00BE72C6">
        <w:rPr>
          <w:sz w:val="22"/>
          <w:szCs w:val="22"/>
          <w:lang w:val="en-US"/>
        </w:rPr>
        <w:t>i</w:t>
      </w:r>
      <w:proofErr w:type="spellEnd"/>
      <w:r w:rsidRPr="00BE72C6">
        <w:rPr>
          <w:sz w:val="22"/>
          <w:szCs w:val="22"/>
          <w:lang w:val="en-US"/>
        </w:rPr>
        <w:t xml:space="preserve"> and j in year t</w:t>
      </w:r>
    </w:p>
    <w:p w14:paraId="04B6DB37" w14:textId="5C3D4E63" w:rsidR="00E75A5D" w:rsidRPr="008849FF" w:rsidRDefault="00E75A5D" w:rsidP="008849FF">
      <w:pPr>
        <w:pStyle w:val="ListParagraph"/>
        <w:numPr>
          <w:ilvl w:val="0"/>
          <w:numId w:val="1"/>
        </w:numPr>
        <w:rPr>
          <w:rFonts w:ascii="Cambria Math" w:hAnsi="Cambria Math" w:cs="Cambria Math"/>
          <w:sz w:val="22"/>
          <w:szCs w:val="22"/>
          <w:lang w:val="en-US"/>
        </w:rPr>
      </w:pPr>
      <w:r w:rsidRPr="00BE72C6">
        <w:rPr>
          <w:sz w:val="22"/>
          <w:szCs w:val="22"/>
          <w:lang w:val="en-US"/>
        </w:rPr>
        <w:t>distance_</w:t>
      </w:r>
      <w:r w:rsidRPr="00BE72C6">
        <w:rPr>
          <w:rFonts w:ascii="Cambria Math" w:hAnsi="Cambria Math" w:cs="Cambria Math"/>
          <w:sz w:val="22"/>
          <w:szCs w:val="22"/>
          <w:lang w:val="en-US"/>
        </w:rPr>
        <w:t>𝑖𝑗</w:t>
      </w:r>
      <w:r w:rsidRPr="00BE72C6">
        <w:rPr>
          <w:sz w:val="22"/>
          <w:szCs w:val="22"/>
          <w:lang w:val="en-US"/>
        </w:rPr>
        <w:t xml:space="preserve">   = distance between countries </w:t>
      </w:r>
      <w:proofErr w:type="spellStart"/>
      <w:r w:rsidRPr="00BE72C6">
        <w:rPr>
          <w:sz w:val="22"/>
          <w:szCs w:val="22"/>
          <w:lang w:val="en-US"/>
        </w:rPr>
        <w:t>i</w:t>
      </w:r>
      <w:proofErr w:type="spellEnd"/>
      <w:r w:rsidRPr="00BE72C6">
        <w:rPr>
          <w:sz w:val="22"/>
          <w:szCs w:val="22"/>
          <w:lang w:val="en-US"/>
        </w:rPr>
        <w:t xml:space="preserve"> and j in year t</w:t>
      </w:r>
    </w:p>
    <w:p w14:paraId="2B3D9A46" w14:textId="04ADAE35" w:rsidR="00E75A5D" w:rsidRPr="00BE72C6" w:rsidRDefault="00E75A5D" w:rsidP="00E75A5D">
      <w:pPr>
        <w:pStyle w:val="ListParagraph"/>
        <w:numPr>
          <w:ilvl w:val="0"/>
          <w:numId w:val="1"/>
        </w:numPr>
        <w:rPr>
          <w:sz w:val="22"/>
          <w:szCs w:val="22"/>
          <w:lang w:val="en-US"/>
        </w:rPr>
      </w:pPr>
      <w:proofErr w:type="spellStart"/>
      <w:r w:rsidRPr="00BE72C6">
        <w:rPr>
          <w:sz w:val="22"/>
          <w:szCs w:val="22"/>
          <w:lang w:val="en-US"/>
        </w:rPr>
        <w:t>gdp_pc</w:t>
      </w:r>
      <w:proofErr w:type="spellEnd"/>
      <w:r w:rsidRPr="00BE72C6">
        <w:rPr>
          <w:sz w:val="22"/>
          <w:szCs w:val="22"/>
          <w:lang w:val="en-US"/>
        </w:rPr>
        <w:t>_</w:t>
      </w:r>
      <w:r w:rsidR="00BE72C6" w:rsidRPr="00BE72C6">
        <w:rPr>
          <w:rFonts w:ascii="Cambria Math" w:hAnsi="Cambria Math" w:cs="Cambria Math"/>
          <w:sz w:val="22"/>
          <w:szCs w:val="22"/>
          <w:lang w:val="en-US"/>
        </w:rPr>
        <w:t>𝑖𝑡</w:t>
      </w:r>
      <w:r w:rsidR="00BE72C6" w:rsidRPr="00BE72C6">
        <w:rPr>
          <w:sz w:val="22"/>
          <w:szCs w:val="22"/>
          <w:lang w:val="en-US"/>
        </w:rPr>
        <w:t xml:space="preserve"> =</w:t>
      </w:r>
      <w:r w:rsidRPr="00BE72C6">
        <w:rPr>
          <w:sz w:val="22"/>
          <w:szCs w:val="22"/>
          <w:lang w:val="en-US"/>
        </w:rPr>
        <w:t xml:space="preserve"> GDP per capita country </w:t>
      </w:r>
      <w:proofErr w:type="spellStart"/>
      <w:r w:rsidRPr="00BE72C6">
        <w:rPr>
          <w:sz w:val="22"/>
          <w:szCs w:val="22"/>
          <w:lang w:val="en-US"/>
        </w:rPr>
        <w:t>i</w:t>
      </w:r>
      <w:proofErr w:type="spellEnd"/>
      <w:r w:rsidRPr="00BE72C6">
        <w:rPr>
          <w:sz w:val="22"/>
          <w:szCs w:val="22"/>
          <w:lang w:val="en-US"/>
        </w:rPr>
        <w:t xml:space="preserve"> in year t</w:t>
      </w:r>
    </w:p>
    <w:p w14:paraId="3ED14304" w14:textId="058E891C" w:rsidR="00E75A5D" w:rsidRPr="00BE72C6" w:rsidRDefault="00E75A5D" w:rsidP="00E75A5D">
      <w:pPr>
        <w:pStyle w:val="ListParagraph"/>
        <w:numPr>
          <w:ilvl w:val="0"/>
          <w:numId w:val="1"/>
        </w:numPr>
        <w:rPr>
          <w:sz w:val="22"/>
          <w:szCs w:val="22"/>
          <w:lang w:val="en-US"/>
        </w:rPr>
      </w:pPr>
      <w:proofErr w:type="spellStart"/>
      <w:r w:rsidRPr="00BE72C6">
        <w:rPr>
          <w:sz w:val="22"/>
          <w:szCs w:val="22"/>
          <w:lang w:val="en-US"/>
        </w:rPr>
        <w:t>gdp_pc</w:t>
      </w:r>
      <w:proofErr w:type="spellEnd"/>
      <w:r w:rsidRPr="00BE72C6">
        <w:rPr>
          <w:sz w:val="22"/>
          <w:szCs w:val="22"/>
          <w:lang w:val="en-US"/>
        </w:rPr>
        <w:t xml:space="preserve"> _</w:t>
      </w:r>
      <w:r w:rsidR="00BE72C6" w:rsidRPr="00BE72C6">
        <w:rPr>
          <w:rFonts w:ascii="Cambria Math" w:hAnsi="Cambria Math" w:cs="Cambria Math"/>
          <w:sz w:val="22"/>
          <w:szCs w:val="22"/>
          <w:lang w:val="en-US"/>
        </w:rPr>
        <w:t>𝑗𝑡</w:t>
      </w:r>
      <w:r w:rsidR="00BE72C6" w:rsidRPr="00BE72C6">
        <w:rPr>
          <w:sz w:val="22"/>
          <w:szCs w:val="22"/>
          <w:lang w:val="en-US"/>
        </w:rPr>
        <w:t xml:space="preserve"> =</w:t>
      </w:r>
      <w:r w:rsidRPr="00BE72C6">
        <w:rPr>
          <w:sz w:val="22"/>
          <w:szCs w:val="22"/>
          <w:lang w:val="en-US"/>
        </w:rPr>
        <w:t xml:space="preserve"> GDP per capita country j in year t</w:t>
      </w:r>
    </w:p>
    <w:p w14:paraId="76A66F4A" w14:textId="0410D39A" w:rsidR="00E75A5D" w:rsidRPr="00BE72C6" w:rsidRDefault="00E75A5D" w:rsidP="00E75A5D">
      <w:pPr>
        <w:pStyle w:val="ListParagraph"/>
        <w:numPr>
          <w:ilvl w:val="0"/>
          <w:numId w:val="1"/>
        </w:numPr>
        <w:rPr>
          <w:sz w:val="22"/>
          <w:szCs w:val="22"/>
          <w:lang w:val="en-US"/>
        </w:rPr>
      </w:pPr>
      <w:r w:rsidRPr="00BE72C6">
        <w:rPr>
          <w:sz w:val="22"/>
          <w:szCs w:val="22"/>
          <w:lang w:val="en-US"/>
        </w:rPr>
        <w:t>factor(year_</w:t>
      </w:r>
      <w:r w:rsidRPr="00BE72C6">
        <w:rPr>
          <w:rFonts w:ascii="Cambria Math" w:hAnsi="Cambria Math" w:cs="Cambria Math"/>
          <w:sz w:val="22"/>
          <w:szCs w:val="22"/>
          <w:lang w:val="en-US"/>
        </w:rPr>
        <w:t>𝑡</w:t>
      </w:r>
      <w:r w:rsidRPr="00BE72C6">
        <w:rPr>
          <w:sz w:val="22"/>
          <w:szCs w:val="22"/>
          <w:lang w:val="en-US"/>
        </w:rPr>
        <w:t>) = Fixed effects of year t</w:t>
      </w:r>
    </w:p>
    <w:p w14:paraId="4D4D61C3" w14:textId="3A8AA1A3" w:rsidR="00E75A5D" w:rsidRPr="00BE72C6" w:rsidRDefault="00E75A5D" w:rsidP="00E75A5D">
      <w:pPr>
        <w:pStyle w:val="ListParagraph"/>
        <w:numPr>
          <w:ilvl w:val="0"/>
          <w:numId w:val="1"/>
        </w:numPr>
        <w:rPr>
          <w:sz w:val="22"/>
          <w:szCs w:val="22"/>
          <w:lang w:val="en-US"/>
        </w:rPr>
      </w:pPr>
      <w:proofErr w:type="spellStart"/>
      <w:r w:rsidRPr="00BE72C6">
        <w:rPr>
          <w:sz w:val="22"/>
          <w:szCs w:val="22"/>
          <w:lang w:val="en-US"/>
        </w:rPr>
        <w:t>same_continent</w:t>
      </w:r>
      <w:proofErr w:type="spellEnd"/>
      <w:r w:rsidRPr="00BE72C6">
        <w:rPr>
          <w:sz w:val="22"/>
          <w:szCs w:val="22"/>
          <w:lang w:val="en-US"/>
        </w:rPr>
        <w:t xml:space="preserve"> _</w:t>
      </w:r>
      <w:r w:rsidRPr="00BE72C6">
        <w:rPr>
          <w:rFonts w:ascii="Cambria Math" w:hAnsi="Cambria Math" w:cs="Cambria Math"/>
          <w:sz w:val="22"/>
          <w:szCs w:val="22"/>
          <w:lang w:val="en-US"/>
        </w:rPr>
        <w:t>𝑖𝑗</w:t>
      </w:r>
      <w:r w:rsidRPr="00BE72C6">
        <w:rPr>
          <w:sz w:val="22"/>
          <w:szCs w:val="22"/>
          <w:lang w:val="en-US"/>
        </w:rPr>
        <w:t xml:space="preserve"> = 1 if countries </w:t>
      </w:r>
      <w:proofErr w:type="spellStart"/>
      <w:r w:rsidRPr="00BE72C6">
        <w:rPr>
          <w:sz w:val="22"/>
          <w:szCs w:val="22"/>
          <w:lang w:val="en-US"/>
        </w:rPr>
        <w:t>i</w:t>
      </w:r>
      <w:proofErr w:type="spellEnd"/>
      <w:r w:rsidRPr="00BE72C6">
        <w:rPr>
          <w:sz w:val="22"/>
          <w:szCs w:val="22"/>
          <w:lang w:val="en-US"/>
        </w:rPr>
        <w:t xml:space="preserve"> and j are in the same continent</w:t>
      </w:r>
    </w:p>
    <w:p w14:paraId="112ED6E9" w14:textId="6E753D98" w:rsidR="00E75A5D" w:rsidRPr="00BE72C6" w:rsidRDefault="00E75A5D" w:rsidP="00E75A5D">
      <w:pPr>
        <w:pStyle w:val="ListParagraph"/>
        <w:numPr>
          <w:ilvl w:val="0"/>
          <w:numId w:val="1"/>
        </w:numPr>
        <w:rPr>
          <w:sz w:val="22"/>
          <w:szCs w:val="22"/>
          <w:lang w:val="en-US"/>
        </w:rPr>
      </w:pPr>
      <w:r w:rsidRPr="00BE72C6">
        <w:rPr>
          <w:sz w:val="22"/>
          <w:szCs w:val="22"/>
          <w:lang w:val="en-US"/>
        </w:rPr>
        <w:t>contiguity_</w:t>
      </w:r>
      <w:r w:rsidR="00BE72C6" w:rsidRPr="00BE72C6">
        <w:rPr>
          <w:rFonts w:ascii="Cambria Math" w:hAnsi="Cambria Math" w:cs="Cambria Math"/>
          <w:sz w:val="22"/>
          <w:szCs w:val="22"/>
          <w:lang w:val="en-US"/>
        </w:rPr>
        <w:t>𝑖𝑗</w:t>
      </w:r>
      <w:r w:rsidR="00BE72C6" w:rsidRPr="00BE72C6">
        <w:rPr>
          <w:sz w:val="22"/>
          <w:szCs w:val="22"/>
          <w:lang w:val="en-US"/>
        </w:rPr>
        <w:t xml:space="preserve"> =</w:t>
      </w:r>
      <w:r w:rsidRPr="00BE72C6">
        <w:rPr>
          <w:sz w:val="22"/>
          <w:szCs w:val="22"/>
          <w:lang w:val="en-US"/>
        </w:rPr>
        <w:t xml:space="preserve"> 1 if countries </w:t>
      </w:r>
      <w:proofErr w:type="spellStart"/>
      <w:r w:rsidRPr="00BE72C6">
        <w:rPr>
          <w:sz w:val="22"/>
          <w:szCs w:val="22"/>
          <w:lang w:val="en-US"/>
        </w:rPr>
        <w:t>i</w:t>
      </w:r>
      <w:proofErr w:type="spellEnd"/>
      <w:r w:rsidRPr="00BE72C6">
        <w:rPr>
          <w:sz w:val="22"/>
          <w:szCs w:val="22"/>
          <w:lang w:val="en-US"/>
        </w:rPr>
        <w:t xml:space="preserve"> and j are neighboring countries</w:t>
      </w:r>
    </w:p>
    <w:p w14:paraId="697557AB" w14:textId="144138F7" w:rsidR="00E75A5D" w:rsidRPr="00BE72C6" w:rsidRDefault="00E75A5D" w:rsidP="00E75A5D">
      <w:pPr>
        <w:pStyle w:val="ListParagraph"/>
        <w:numPr>
          <w:ilvl w:val="0"/>
          <w:numId w:val="1"/>
        </w:numPr>
        <w:rPr>
          <w:sz w:val="22"/>
          <w:szCs w:val="22"/>
          <w:lang w:val="en-US"/>
        </w:rPr>
      </w:pPr>
      <w:proofErr w:type="spellStart"/>
      <w:r w:rsidRPr="00BE72C6">
        <w:rPr>
          <w:sz w:val="22"/>
          <w:szCs w:val="22"/>
          <w:lang w:val="en-US"/>
        </w:rPr>
        <w:t>common_language</w:t>
      </w:r>
      <w:proofErr w:type="spellEnd"/>
      <w:r w:rsidRPr="00BE72C6">
        <w:rPr>
          <w:sz w:val="22"/>
          <w:szCs w:val="22"/>
          <w:lang w:val="en-US"/>
        </w:rPr>
        <w:t>_</w:t>
      </w:r>
      <w:r w:rsidRPr="00BE72C6">
        <w:rPr>
          <w:rFonts w:ascii="Cambria Math" w:hAnsi="Cambria Math" w:cs="Cambria Math"/>
          <w:sz w:val="22"/>
          <w:szCs w:val="22"/>
          <w:lang w:val="en-US"/>
        </w:rPr>
        <w:t>𝑖𝑗</w:t>
      </w:r>
      <w:r w:rsidRPr="00BE72C6">
        <w:rPr>
          <w:sz w:val="22"/>
          <w:szCs w:val="22"/>
          <w:lang w:val="en-US"/>
        </w:rPr>
        <w:t xml:space="preserve"> = 1 if countries </w:t>
      </w:r>
      <w:proofErr w:type="spellStart"/>
      <w:r w:rsidRPr="00BE72C6">
        <w:rPr>
          <w:sz w:val="22"/>
          <w:szCs w:val="22"/>
          <w:lang w:val="en-US"/>
        </w:rPr>
        <w:t>i</w:t>
      </w:r>
      <w:proofErr w:type="spellEnd"/>
      <w:r w:rsidRPr="00BE72C6">
        <w:rPr>
          <w:sz w:val="22"/>
          <w:szCs w:val="22"/>
          <w:lang w:val="en-US"/>
        </w:rPr>
        <w:t xml:space="preserve"> and j share common language</w:t>
      </w:r>
    </w:p>
    <w:p w14:paraId="4F343E62" w14:textId="0727CB6A" w:rsidR="00E75A5D" w:rsidRPr="00BE72C6" w:rsidRDefault="00E75A5D" w:rsidP="00E75A5D">
      <w:pPr>
        <w:pStyle w:val="ListParagraph"/>
        <w:numPr>
          <w:ilvl w:val="0"/>
          <w:numId w:val="1"/>
        </w:numPr>
        <w:rPr>
          <w:sz w:val="22"/>
          <w:szCs w:val="22"/>
          <w:lang w:val="en-US"/>
        </w:rPr>
      </w:pPr>
      <w:proofErr w:type="spellStart"/>
      <w:r w:rsidRPr="00BE72C6">
        <w:rPr>
          <w:sz w:val="22"/>
          <w:szCs w:val="22"/>
          <w:lang w:val="en-US"/>
        </w:rPr>
        <w:t>digital_serv_world</w:t>
      </w:r>
      <w:proofErr w:type="spellEnd"/>
      <w:r w:rsidRPr="00BE72C6">
        <w:rPr>
          <w:sz w:val="22"/>
          <w:szCs w:val="22"/>
          <w:lang w:val="en-US"/>
        </w:rPr>
        <w:t>_</w:t>
      </w:r>
      <w:r w:rsidRPr="00BE72C6">
        <w:rPr>
          <w:rFonts w:ascii="Cambria Math" w:hAnsi="Cambria Math" w:cs="Cambria Math"/>
          <w:sz w:val="22"/>
          <w:szCs w:val="22"/>
          <w:lang w:val="en-US"/>
        </w:rPr>
        <w:t>𝑖𝑡</w:t>
      </w:r>
      <w:r w:rsidRPr="00BE72C6">
        <w:rPr>
          <w:sz w:val="22"/>
          <w:szCs w:val="22"/>
          <w:lang w:val="en-US"/>
        </w:rPr>
        <w:t xml:space="preserve"> = total digital services trade with partner world of country </w:t>
      </w:r>
      <w:proofErr w:type="spellStart"/>
      <w:r w:rsidRPr="00BE72C6">
        <w:rPr>
          <w:sz w:val="22"/>
          <w:szCs w:val="22"/>
          <w:lang w:val="en-US"/>
        </w:rPr>
        <w:t>i</w:t>
      </w:r>
      <w:proofErr w:type="spellEnd"/>
      <w:r w:rsidRPr="00BE72C6">
        <w:rPr>
          <w:sz w:val="22"/>
          <w:szCs w:val="22"/>
          <w:lang w:val="en-US"/>
        </w:rPr>
        <w:t xml:space="preserve"> in year t</w:t>
      </w:r>
    </w:p>
    <w:p w14:paraId="0DF4BAD0" w14:textId="28EDF0D8" w:rsidR="00E75A5D" w:rsidRPr="00BE72C6" w:rsidRDefault="00E75A5D" w:rsidP="00E75A5D">
      <w:pPr>
        <w:pStyle w:val="ListParagraph"/>
        <w:numPr>
          <w:ilvl w:val="0"/>
          <w:numId w:val="1"/>
        </w:numPr>
        <w:rPr>
          <w:sz w:val="22"/>
          <w:szCs w:val="22"/>
          <w:lang w:val="en-US"/>
        </w:rPr>
      </w:pPr>
      <w:proofErr w:type="spellStart"/>
      <w:r w:rsidRPr="00BE72C6">
        <w:rPr>
          <w:sz w:val="22"/>
          <w:szCs w:val="22"/>
          <w:lang w:val="en-US"/>
        </w:rPr>
        <w:t>digital_serv_world</w:t>
      </w:r>
      <w:proofErr w:type="spellEnd"/>
      <w:r w:rsidRPr="00BE72C6">
        <w:rPr>
          <w:sz w:val="22"/>
          <w:szCs w:val="22"/>
          <w:lang w:val="en-US"/>
        </w:rPr>
        <w:t xml:space="preserve">_ </w:t>
      </w:r>
      <w:r w:rsidRPr="00BE72C6">
        <w:rPr>
          <w:rFonts w:ascii="Cambria Math" w:hAnsi="Cambria Math" w:cs="Cambria Math"/>
          <w:sz w:val="22"/>
          <w:szCs w:val="22"/>
          <w:lang w:val="en-US"/>
        </w:rPr>
        <w:t>𝑗𝑡</w:t>
      </w:r>
      <w:r w:rsidRPr="00BE72C6">
        <w:rPr>
          <w:sz w:val="22"/>
          <w:szCs w:val="22"/>
          <w:lang w:val="en-US"/>
        </w:rPr>
        <w:t xml:space="preserve"> = total digital services trade with partner world of country j in year t</w:t>
      </w:r>
    </w:p>
    <w:p w14:paraId="1A47614C" w14:textId="219393C0" w:rsidR="00E75A5D" w:rsidRPr="00BE72C6" w:rsidRDefault="00E75A5D" w:rsidP="00E75A5D">
      <w:pPr>
        <w:pStyle w:val="ListParagraph"/>
        <w:numPr>
          <w:ilvl w:val="0"/>
          <w:numId w:val="1"/>
        </w:numPr>
        <w:rPr>
          <w:sz w:val="22"/>
          <w:szCs w:val="22"/>
          <w:lang w:val="en-US"/>
        </w:rPr>
      </w:pPr>
      <w:r w:rsidRPr="00BE72C6">
        <w:rPr>
          <w:sz w:val="22"/>
          <w:szCs w:val="22"/>
          <w:lang w:val="en-US"/>
        </w:rPr>
        <w:t xml:space="preserve">factor(partner) = fixed effects of country j </w:t>
      </w:r>
    </w:p>
    <w:p w14:paraId="6D05284B" w14:textId="26463080" w:rsidR="00E75A5D" w:rsidRPr="00BE72C6" w:rsidRDefault="00E75A5D" w:rsidP="00E75A5D">
      <w:pPr>
        <w:pStyle w:val="ListParagraph"/>
        <w:numPr>
          <w:ilvl w:val="0"/>
          <w:numId w:val="1"/>
        </w:numPr>
        <w:rPr>
          <w:sz w:val="22"/>
          <w:szCs w:val="22"/>
          <w:lang w:val="en-US"/>
        </w:rPr>
      </w:pPr>
      <w:proofErr w:type="spellStart"/>
      <w:r w:rsidRPr="00BE72C6">
        <w:rPr>
          <w:sz w:val="22"/>
          <w:szCs w:val="22"/>
          <w:lang w:val="en-US"/>
        </w:rPr>
        <w:t>internet_coverage</w:t>
      </w:r>
      <w:proofErr w:type="spellEnd"/>
      <w:r w:rsidRPr="00BE72C6">
        <w:rPr>
          <w:sz w:val="22"/>
          <w:szCs w:val="22"/>
          <w:lang w:val="en-US"/>
        </w:rPr>
        <w:t xml:space="preserve">_ </w:t>
      </w:r>
      <w:r w:rsidRPr="00BE72C6">
        <w:rPr>
          <w:rFonts w:ascii="Cambria Math" w:hAnsi="Cambria Math" w:cs="Cambria Math"/>
          <w:sz w:val="22"/>
          <w:szCs w:val="22"/>
          <w:lang w:val="en-US"/>
        </w:rPr>
        <w:t>𝑖𝑡</w:t>
      </w:r>
      <w:r w:rsidRPr="00BE72C6">
        <w:rPr>
          <w:sz w:val="22"/>
          <w:szCs w:val="22"/>
          <w:lang w:val="en-US"/>
        </w:rPr>
        <w:t xml:space="preserve"> = internet coverage in country </w:t>
      </w:r>
      <w:proofErr w:type="spellStart"/>
      <w:r w:rsidRPr="00BE72C6">
        <w:rPr>
          <w:sz w:val="22"/>
          <w:szCs w:val="22"/>
          <w:lang w:val="en-US"/>
        </w:rPr>
        <w:t>i</w:t>
      </w:r>
      <w:proofErr w:type="spellEnd"/>
      <w:r w:rsidRPr="00BE72C6">
        <w:rPr>
          <w:sz w:val="22"/>
          <w:szCs w:val="22"/>
          <w:lang w:val="en-US"/>
        </w:rPr>
        <w:t xml:space="preserve"> in year t</w:t>
      </w:r>
    </w:p>
    <w:p w14:paraId="7CBB25A2" w14:textId="2E71C6E9" w:rsidR="00E75A5D" w:rsidRPr="00BE72C6" w:rsidRDefault="00E75A5D" w:rsidP="00E75A5D">
      <w:pPr>
        <w:pStyle w:val="ListParagraph"/>
        <w:numPr>
          <w:ilvl w:val="0"/>
          <w:numId w:val="1"/>
        </w:numPr>
        <w:rPr>
          <w:sz w:val="22"/>
          <w:szCs w:val="22"/>
          <w:lang w:val="en-US"/>
        </w:rPr>
      </w:pPr>
      <w:proofErr w:type="spellStart"/>
      <w:r w:rsidRPr="00BE72C6">
        <w:rPr>
          <w:sz w:val="22"/>
          <w:szCs w:val="22"/>
          <w:lang w:val="en-US"/>
        </w:rPr>
        <w:t>internet_coverage</w:t>
      </w:r>
      <w:proofErr w:type="spellEnd"/>
      <w:r w:rsidRPr="00BE72C6">
        <w:rPr>
          <w:sz w:val="22"/>
          <w:szCs w:val="22"/>
          <w:lang w:val="en-US"/>
        </w:rPr>
        <w:t xml:space="preserve">_ </w:t>
      </w:r>
      <w:r w:rsidRPr="00BE72C6">
        <w:rPr>
          <w:rFonts w:ascii="Cambria Math" w:hAnsi="Cambria Math" w:cs="Cambria Math"/>
          <w:sz w:val="22"/>
          <w:szCs w:val="22"/>
          <w:lang w:val="en-US"/>
        </w:rPr>
        <w:t>𝑗𝑡</w:t>
      </w:r>
      <w:r w:rsidRPr="00BE72C6">
        <w:rPr>
          <w:sz w:val="22"/>
          <w:szCs w:val="22"/>
          <w:lang w:val="en-US"/>
        </w:rPr>
        <w:t xml:space="preserve"> = internet coverage in country j in year t</w:t>
      </w:r>
    </w:p>
    <w:p w14:paraId="3E9158F9" w14:textId="6336977E" w:rsidR="00E75A5D" w:rsidRPr="00BE72C6" w:rsidRDefault="00E75A5D" w:rsidP="00E75A5D">
      <w:pPr>
        <w:pStyle w:val="ListParagraph"/>
        <w:numPr>
          <w:ilvl w:val="0"/>
          <w:numId w:val="1"/>
        </w:numPr>
        <w:rPr>
          <w:sz w:val="22"/>
          <w:szCs w:val="22"/>
          <w:lang w:val="en-US"/>
        </w:rPr>
      </w:pPr>
      <w:r w:rsidRPr="00BE72C6">
        <w:rPr>
          <w:rFonts w:ascii="Cambria Math" w:hAnsi="Cambria Math" w:cs="Cambria Math"/>
          <w:sz w:val="22"/>
          <w:szCs w:val="22"/>
          <w:lang w:val="en-US"/>
        </w:rPr>
        <w:t xml:space="preserve">𝜀𝑖𝑗 = </w:t>
      </w:r>
      <w:r w:rsidRPr="00BE72C6">
        <w:rPr>
          <w:rFonts w:cs="Cambria Math"/>
          <w:sz w:val="22"/>
          <w:szCs w:val="22"/>
          <w:lang w:val="en-US"/>
        </w:rPr>
        <w:t>error term</w:t>
      </w:r>
    </w:p>
    <w:p w14:paraId="1E18F590" w14:textId="77777777" w:rsidR="00E75A5D" w:rsidRPr="00E75A5D" w:rsidRDefault="00E75A5D">
      <w:pPr>
        <w:rPr>
          <w:lang w:val="en-US"/>
        </w:rPr>
      </w:pPr>
    </w:p>
    <w:p w14:paraId="3BF0D87D" w14:textId="77777777" w:rsidR="00A65C06" w:rsidRDefault="00A65C06"/>
    <w:p w14:paraId="5CA07E54" w14:textId="77777777" w:rsidR="00A65C06" w:rsidRDefault="00A65C06"/>
    <w:sectPr w:rsidR="00A65C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13E64C4"/>
    <w:multiLevelType w:val="hybridMultilevel"/>
    <w:tmpl w:val="0E8AFE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820421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3"/>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5C06"/>
    <w:rsid w:val="0005310D"/>
    <w:rsid w:val="002944A9"/>
    <w:rsid w:val="003049A4"/>
    <w:rsid w:val="004261EC"/>
    <w:rsid w:val="004F6BF4"/>
    <w:rsid w:val="006B2997"/>
    <w:rsid w:val="008849FF"/>
    <w:rsid w:val="00A65C06"/>
    <w:rsid w:val="00B930A1"/>
    <w:rsid w:val="00BE72C6"/>
    <w:rsid w:val="00CF2EAF"/>
    <w:rsid w:val="00D5697C"/>
    <w:rsid w:val="00E203C2"/>
    <w:rsid w:val="00E75A5D"/>
    <w:rsid w:val="00EE1038"/>
    <w:rsid w:val="00F978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6E2791E"/>
  <w15:chartTrackingRefBased/>
  <w15:docId w15:val="{58A44BDA-C7AA-5A49-893D-CA08D23F70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A65C0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65C0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65C0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65C0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65C0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65C0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65C0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65C0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65C0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5C06"/>
    <w:rPr>
      <w:rFonts w:asciiTheme="majorHAnsi" w:eastAsiaTheme="majorEastAsia" w:hAnsiTheme="majorHAnsi" w:cstheme="majorBidi"/>
      <w:color w:val="0F4761" w:themeColor="accent1" w:themeShade="BF"/>
      <w:sz w:val="40"/>
      <w:szCs w:val="40"/>
      <w:lang w:val="en-GB"/>
    </w:rPr>
  </w:style>
  <w:style w:type="character" w:customStyle="1" w:styleId="Heading2Char">
    <w:name w:val="Heading 2 Char"/>
    <w:basedOn w:val="DefaultParagraphFont"/>
    <w:link w:val="Heading2"/>
    <w:uiPriority w:val="9"/>
    <w:semiHidden/>
    <w:rsid w:val="00A65C06"/>
    <w:rPr>
      <w:rFonts w:asciiTheme="majorHAnsi" w:eastAsiaTheme="majorEastAsia" w:hAnsiTheme="majorHAnsi" w:cstheme="majorBidi"/>
      <w:color w:val="0F4761" w:themeColor="accent1" w:themeShade="BF"/>
      <w:sz w:val="32"/>
      <w:szCs w:val="32"/>
      <w:lang w:val="en-GB"/>
    </w:rPr>
  </w:style>
  <w:style w:type="character" w:customStyle="1" w:styleId="Heading3Char">
    <w:name w:val="Heading 3 Char"/>
    <w:basedOn w:val="DefaultParagraphFont"/>
    <w:link w:val="Heading3"/>
    <w:uiPriority w:val="9"/>
    <w:semiHidden/>
    <w:rsid w:val="00A65C06"/>
    <w:rPr>
      <w:rFonts w:eastAsiaTheme="majorEastAsia" w:cstheme="majorBidi"/>
      <w:color w:val="0F4761" w:themeColor="accent1" w:themeShade="BF"/>
      <w:sz w:val="28"/>
      <w:szCs w:val="28"/>
      <w:lang w:val="en-GB"/>
    </w:rPr>
  </w:style>
  <w:style w:type="character" w:customStyle="1" w:styleId="Heading4Char">
    <w:name w:val="Heading 4 Char"/>
    <w:basedOn w:val="DefaultParagraphFont"/>
    <w:link w:val="Heading4"/>
    <w:uiPriority w:val="9"/>
    <w:semiHidden/>
    <w:rsid w:val="00A65C06"/>
    <w:rPr>
      <w:rFonts w:eastAsiaTheme="majorEastAsia" w:cstheme="majorBidi"/>
      <w:i/>
      <w:iCs/>
      <w:color w:val="0F4761" w:themeColor="accent1" w:themeShade="BF"/>
      <w:lang w:val="en-GB"/>
    </w:rPr>
  </w:style>
  <w:style w:type="character" w:customStyle="1" w:styleId="Heading5Char">
    <w:name w:val="Heading 5 Char"/>
    <w:basedOn w:val="DefaultParagraphFont"/>
    <w:link w:val="Heading5"/>
    <w:uiPriority w:val="9"/>
    <w:semiHidden/>
    <w:rsid w:val="00A65C06"/>
    <w:rPr>
      <w:rFonts w:eastAsiaTheme="majorEastAsia" w:cstheme="majorBidi"/>
      <w:color w:val="0F4761" w:themeColor="accent1" w:themeShade="BF"/>
      <w:lang w:val="en-GB"/>
    </w:rPr>
  </w:style>
  <w:style w:type="character" w:customStyle="1" w:styleId="Heading6Char">
    <w:name w:val="Heading 6 Char"/>
    <w:basedOn w:val="DefaultParagraphFont"/>
    <w:link w:val="Heading6"/>
    <w:uiPriority w:val="9"/>
    <w:semiHidden/>
    <w:rsid w:val="00A65C06"/>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A65C06"/>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A65C06"/>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A65C06"/>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A65C0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65C06"/>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A65C0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65C06"/>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A65C06"/>
    <w:pPr>
      <w:spacing w:before="160"/>
      <w:jc w:val="center"/>
    </w:pPr>
    <w:rPr>
      <w:i/>
      <w:iCs/>
      <w:color w:val="404040" w:themeColor="text1" w:themeTint="BF"/>
    </w:rPr>
  </w:style>
  <w:style w:type="character" w:customStyle="1" w:styleId="QuoteChar">
    <w:name w:val="Quote Char"/>
    <w:basedOn w:val="DefaultParagraphFont"/>
    <w:link w:val="Quote"/>
    <w:uiPriority w:val="29"/>
    <w:rsid w:val="00A65C06"/>
    <w:rPr>
      <w:i/>
      <w:iCs/>
      <w:color w:val="404040" w:themeColor="text1" w:themeTint="BF"/>
      <w:lang w:val="en-GB"/>
    </w:rPr>
  </w:style>
  <w:style w:type="paragraph" w:styleId="ListParagraph">
    <w:name w:val="List Paragraph"/>
    <w:basedOn w:val="Normal"/>
    <w:uiPriority w:val="34"/>
    <w:qFormat/>
    <w:rsid w:val="00A65C06"/>
    <w:pPr>
      <w:ind w:left="720"/>
      <w:contextualSpacing/>
    </w:pPr>
  </w:style>
  <w:style w:type="character" w:styleId="IntenseEmphasis">
    <w:name w:val="Intense Emphasis"/>
    <w:basedOn w:val="DefaultParagraphFont"/>
    <w:uiPriority w:val="21"/>
    <w:qFormat/>
    <w:rsid w:val="00A65C06"/>
    <w:rPr>
      <w:i/>
      <w:iCs/>
      <w:color w:val="0F4761" w:themeColor="accent1" w:themeShade="BF"/>
    </w:rPr>
  </w:style>
  <w:style w:type="paragraph" w:styleId="IntenseQuote">
    <w:name w:val="Intense Quote"/>
    <w:basedOn w:val="Normal"/>
    <w:next w:val="Normal"/>
    <w:link w:val="IntenseQuoteChar"/>
    <w:uiPriority w:val="30"/>
    <w:qFormat/>
    <w:rsid w:val="00A65C0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65C06"/>
    <w:rPr>
      <w:i/>
      <w:iCs/>
      <w:color w:val="0F4761" w:themeColor="accent1" w:themeShade="BF"/>
      <w:lang w:val="en-GB"/>
    </w:rPr>
  </w:style>
  <w:style w:type="character" w:styleId="IntenseReference">
    <w:name w:val="Intense Reference"/>
    <w:basedOn w:val="DefaultParagraphFont"/>
    <w:uiPriority w:val="32"/>
    <w:qFormat/>
    <w:rsid w:val="00A65C06"/>
    <w:rPr>
      <w:b/>
      <w:bCs/>
      <w:smallCaps/>
      <w:color w:val="0F4761" w:themeColor="accent1" w:themeShade="BF"/>
      <w:spacing w:val="5"/>
    </w:rPr>
  </w:style>
  <w:style w:type="character" w:styleId="Hyperlink">
    <w:name w:val="Hyperlink"/>
    <w:basedOn w:val="DefaultParagraphFont"/>
    <w:uiPriority w:val="99"/>
    <w:unhideWhenUsed/>
    <w:rsid w:val="00A65C06"/>
    <w:rPr>
      <w:color w:val="467886" w:themeColor="hyperlink"/>
      <w:u w:val="single"/>
    </w:rPr>
  </w:style>
  <w:style w:type="character" w:styleId="UnresolvedMention">
    <w:name w:val="Unresolved Mention"/>
    <w:basedOn w:val="DefaultParagraphFont"/>
    <w:uiPriority w:val="99"/>
    <w:semiHidden/>
    <w:unhideWhenUsed/>
    <w:rsid w:val="00A65C06"/>
    <w:rPr>
      <w:color w:val="605E5C"/>
      <w:shd w:val="clear" w:color="auto" w:fill="E1DFDD"/>
    </w:rPr>
  </w:style>
  <w:style w:type="character" w:styleId="FollowedHyperlink">
    <w:name w:val="FollowedHyperlink"/>
    <w:basedOn w:val="DefaultParagraphFont"/>
    <w:uiPriority w:val="99"/>
    <w:semiHidden/>
    <w:unhideWhenUsed/>
    <w:rsid w:val="00A65C06"/>
    <w:rPr>
      <w:color w:val="96607D" w:themeColor="followedHyperlink"/>
      <w:u w:val="single"/>
    </w:rPr>
  </w:style>
  <w:style w:type="table" w:styleId="TableGrid">
    <w:name w:val="Table Grid"/>
    <w:basedOn w:val="TableNormal"/>
    <w:uiPriority w:val="39"/>
    <w:rsid w:val="00EE10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4839146">
      <w:bodyDiv w:val="1"/>
      <w:marLeft w:val="0"/>
      <w:marRight w:val="0"/>
      <w:marTop w:val="0"/>
      <w:marBottom w:val="0"/>
      <w:divBdr>
        <w:top w:val="none" w:sz="0" w:space="0" w:color="auto"/>
        <w:left w:val="none" w:sz="0" w:space="0" w:color="auto"/>
        <w:bottom w:val="none" w:sz="0" w:space="0" w:color="auto"/>
        <w:right w:val="none" w:sz="0" w:space="0" w:color="auto"/>
      </w:divBdr>
      <w:divsChild>
        <w:div w:id="665015442">
          <w:marLeft w:val="0"/>
          <w:marRight w:val="0"/>
          <w:marTop w:val="0"/>
          <w:marBottom w:val="0"/>
          <w:divBdr>
            <w:top w:val="none" w:sz="0" w:space="0" w:color="auto"/>
            <w:left w:val="none" w:sz="0" w:space="0" w:color="auto"/>
            <w:bottom w:val="none" w:sz="0" w:space="0" w:color="auto"/>
            <w:right w:val="none" w:sz="0" w:space="0" w:color="auto"/>
          </w:divBdr>
          <w:divsChild>
            <w:div w:id="434060069">
              <w:marLeft w:val="0"/>
              <w:marRight w:val="0"/>
              <w:marTop w:val="0"/>
              <w:marBottom w:val="0"/>
              <w:divBdr>
                <w:top w:val="none" w:sz="0" w:space="0" w:color="auto"/>
                <w:left w:val="none" w:sz="0" w:space="0" w:color="auto"/>
                <w:bottom w:val="none" w:sz="0" w:space="0" w:color="auto"/>
                <w:right w:val="none" w:sz="0" w:space="0" w:color="auto"/>
              </w:divBdr>
            </w:div>
            <w:div w:id="83456521">
              <w:marLeft w:val="0"/>
              <w:marRight w:val="0"/>
              <w:marTop w:val="0"/>
              <w:marBottom w:val="0"/>
              <w:divBdr>
                <w:top w:val="none" w:sz="0" w:space="0" w:color="auto"/>
                <w:left w:val="none" w:sz="0" w:space="0" w:color="auto"/>
                <w:bottom w:val="none" w:sz="0" w:space="0" w:color="auto"/>
                <w:right w:val="none" w:sz="0" w:space="0" w:color="auto"/>
              </w:divBdr>
              <w:divsChild>
                <w:div w:id="1653676127">
                  <w:marLeft w:val="0"/>
                  <w:marRight w:val="0"/>
                  <w:marTop w:val="0"/>
                  <w:marBottom w:val="0"/>
                  <w:divBdr>
                    <w:top w:val="none" w:sz="0" w:space="0" w:color="auto"/>
                    <w:left w:val="none" w:sz="0" w:space="0" w:color="auto"/>
                    <w:bottom w:val="none" w:sz="0" w:space="0" w:color="auto"/>
                    <w:right w:val="none" w:sz="0" w:space="0" w:color="auto"/>
                  </w:divBdr>
                  <w:divsChild>
                    <w:div w:id="89473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614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209449">
      <w:bodyDiv w:val="1"/>
      <w:marLeft w:val="0"/>
      <w:marRight w:val="0"/>
      <w:marTop w:val="0"/>
      <w:marBottom w:val="0"/>
      <w:divBdr>
        <w:top w:val="none" w:sz="0" w:space="0" w:color="auto"/>
        <w:left w:val="none" w:sz="0" w:space="0" w:color="auto"/>
        <w:bottom w:val="none" w:sz="0" w:space="0" w:color="auto"/>
        <w:right w:val="none" w:sz="0" w:space="0" w:color="auto"/>
      </w:divBdr>
    </w:div>
    <w:div w:id="2041783354">
      <w:bodyDiv w:val="1"/>
      <w:marLeft w:val="0"/>
      <w:marRight w:val="0"/>
      <w:marTop w:val="0"/>
      <w:marBottom w:val="0"/>
      <w:divBdr>
        <w:top w:val="none" w:sz="0" w:space="0" w:color="auto"/>
        <w:left w:val="none" w:sz="0" w:space="0" w:color="auto"/>
        <w:bottom w:val="none" w:sz="0" w:space="0" w:color="auto"/>
        <w:right w:val="none" w:sz="0" w:space="0" w:color="auto"/>
      </w:divBdr>
      <w:divsChild>
        <w:div w:id="390808394">
          <w:marLeft w:val="0"/>
          <w:marRight w:val="0"/>
          <w:marTop w:val="0"/>
          <w:marBottom w:val="0"/>
          <w:divBdr>
            <w:top w:val="none" w:sz="0" w:space="0" w:color="auto"/>
            <w:left w:val="none" w:sz="0" w:space="0" w:color="auto"/>
            <w:bottom w:val="none" w:sz="0" w:space="0" w:color="auto"/>
            <w:right w:val="none" w:sz="0" w:space="0" w:color="auto"/>
          </w:divBdr>
          <w:divsChild>
            <w:div w:id="1598171069">
              <w:marLeft w:val="0"/>
              <w:marRight w:val="0"/>
              <w:marTop w:val="0"/>
              <w:marBottom w:val="0"/>
              <w:divBdr>
                <w:top w:val="none" w:sz="0" w:space="0" w:color="auto"/>
                <w:left w:val="none" w:sz="0" w:space="0" w:color="auto"/>
                <w:bottom w:val="none" w:sz="0" w:space="0" w:color="auto"/>
                <w:right w:val="none" w:sz="0" w:space="0" w:color="auto"/>
              </w:divBdr>
            </w:div>
            <w:div w:id="1717310279">
              <w:marLeft w:val="0"/>
              <w:marRight w:val="0"/>
              <w:marTop w:val="0"/>
              <w:marBottom w:val="0"/>
              <w:divBdr>
                <w:top w:val="none" w:sz="0" w:space="0" w:color="auto"/>
                <w:left w:val="none" w:sz="0" w:space="0" w:color="auto"/>
                <w:bottom w:val="none" w:sz="0" w:space="0" w:color="auto"/>
                <w:right w:val="none" w:sz="0" w:space="0" w:color="auto"/>
              </w:divBdr>
              <w:divsChild>
                <w:div w:id="293952271">
                  <w:marLeft w:val="0"/>
                  <w:marRight w:val="0"/>
                  <w:marTop w:val="0"/>
                  <w:marBottom w:val="0"/>
                  <w:divBdr>
                    <w:top w:val="none" w:sz="0" w:space="0" w:color="auto"/>
                    <w:left w:val="none" w:sz="0" w:space="0" w:color="auto"/>
                    <w:bottom w:val="none" w:sz="0" w:space="0" w:color="auto"/>
                    <w:right w:val="none" w:sz="0" w:space="0" w:color="auto"/>
                  </w:divBdr>
                  <w:divsChild>
                    <w:div w:id="583337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48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463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mf.org/en/Publications/WEO/weo-database/2024/October/download-entire-database" TargetMode="External"/><Relationship Id="rId3" Type="http://schemas.openxmlformats.org/officeDocument/2006/relationships/settings" Target="settings.xml"/><Relationship Id="rId7" Type="http://schemas.openxmlformats.org/officeDocument/2006/relationships/hyperlink" Target="https://www.cepii.fr/CEPII/en/bdd_modele/bdd_modele_item.asp?id=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c.europa.eu/eurostat/databrowser/view/isoc_cbs/default/table?lang=en" TargetMode="External"/><Relationship Id="rId5" Type="http://schemas.openxmlformats.org/officeDocument/2006/relationships/hyperlink" Target="https://data-explorer.oecd.org/vis?fs%5B0%5D=Topic,0%7CTrade%23TRD%23&amp;fs%5B1%5D=Topic,2%7CTrade%23TRD%23%7CTrade%20in%20goods%20and%20services%23TRD_GDS%23%7CTrade%20in%20services%23TRD_GDS_STR%23&amp;pg=0&amp;fc=Topic&amp;snb=4&amp;vw=ov&amp;df%5Bds%5D=dsDisseminateFinalDMZ&amp;df%5Bid%5D=DSD_BOP@DF_TIS&amp;df%5Bag%5D=OECD.SDD.TPS&amp;df%5Bvs%5D=1.0&amp;dq=AUS..S.B..A.USD_EXC.&amp;pd=2009,&amp;to%5BTIME_PERIOD%5D=false&amp;ly%5Bcl%5D=TIME_PERIOD&amp;ly%5Brw%5D=COUNTERPART_AREA"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672</Words>
  <Characters>3833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Fiallos</dc:creator>
  <cp:keywords/>
  <dc:description/>
  <cp:lastModifiedBy>Andres Fiallos</cp:lastModifiedBy>
  <cp:revision>5</cp:revision>
  <dcterms:created xsi:type="dcterms:W3CDTF">2024-11-14T14:37:00Z</dcterms:created>
  <dcterms:modified xsi:type="dcterms:W3CDTF">2024-11-19T13:52:00Z</dcterms:modified>
</cp:coreProperties>
</file>