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200"/>
        <w:jc w:val="center"/>
      </w:pPr>
      <w:r>
        <w:rPr>
          <w:rFonts w:ascii="Arial" w:cs="Arial" w:eastAsia="Arial" w:hAnsi="Arial"/>
          <w:b/>
          <w:bCs/>
          <w:color w:val="2E4A7A"/>
          <w:sz w:val="40"/>
          <w:szCs w:val="40"/>
        </w:rPr>
        <w:t xml:space="preserve">A Greedy Jaccard-Based Similarity Metric</w:t>
      </w:r>
    </w:p>
    <w:p>
      <w:pPr>
        <w:spacing w:before="0" w:after="120"/>
        <w:jc w:val="center"/>
      </w:pPr>
      <w:r>
        <w:rPr>
          <w:rFonts w:ascii="Arial" w:cs="Arial" w:eastAsia="Arial" w:hAnsi="Arial"/>
          <w:b/>
          <w:bCs/>
          <w:color w:val="1A5276"/>
          <w:sz w:val="36"/>
          <w:szCs w:val="36"/>
        </w:rPr>
        <w:t xml:space="preserve">for Gaussian Mixture Model Comparison</w:t>
      </w:r>
    </w:p>
    <w:p>
      <w:pPr>
        <w:spacing w:before="200" w:after="0"/>
      </w:pPr>
      <w:r>
        <w:t xml:space="preserve"/>
      </w:r>
    </w:p>
    <w:p>
      <w:pPr>
        <w:spacing w:before="0" w:after="80"/>
        <w:jc w:val="center"/>
      </w:pPr>
      <w:r>
        <w:rPr>
          <w:rFonts w:ascii="Arial" w:cs="Arial" w:eastAsia="Arial" w:hAnsi="Arial"/>
          <w:i/>
          <w:iCs/>
          <w:color w:val="555555"/>
          <w:sz w:val="24"/>
          <w:szCs w:val="24"/>
        </w:rPr>
        <w:t xml:space="preserve">Technical Report — Version 2  (Numerical + Analytical Variants)</w:t>
      </w:r>
    </w:p>
    <w:p>
      <w:pPr>
        <w:spacing w:before="0" w:after="80"/>
        <w:jc w:val="center"/>
      </w:pPr>
      <w:r>
        <w:rPr>
          <w:rFonts w:ascii="Arial" w:cs="Arial" w:eastAsia="Arial" w:hAnsi="Arial"/>
          <w:color w:val="555555"/>
          <w:sz w:val="22"/>
          <w:szCs w:val="22"/>
        </w:rPr>
        <w:t xml:space="preserve">February 2026</w:t>
      </w:r>
    </w:p>
    <w:p>
      <w:pPr>
        <w:pBdr>
          <w:bottom w:val="single" w:color="2E4A7A" w:sz="6" w:space="1"/>
        </w:pBdr>
        <w:spacing w:before="120" w:after="120"/>
      </w:pPr>
      <w:r>
        <w:t xml:space="preserve"/>
      </w:r>
    </w:p>
    <w:p>
      <w:pPr>
        <w:spacing w:before="1000" w:after="0"/>
      </w:pPr>
      <w:r>
        <w:t xml:space="preserve"/>
      </w:r>
    </w:p>
    <w:p>
      <w:r>
        <w:br w:type="page"/>
      </w:r>
    </w:p>
    <w:p>
      <w:pPr>
        <w:pStyle w:val="Heading1"/>
        <w:spacing w:before="320" w:after="160"/>
      </w:pPr>
      <w:r>
        <w:rPr>
          <w:rFonts w:ascii="Arial" w:cs="Arial" w:eastAsia="Arial" w:hAnsi="Arial"/>
          <w:b/>
          <w:bCs/>
          <w:color w:val="2E4A7A"/>
          <w:sz w:val="28"/>
          <w:szCs w:val="28"/>
        </w:rPr>
        <w:t xml:space="preserve">Abstract</w:t>
      </w:r>
    </w:p>
    <w:p>
      <w:pPr>
        <w:spacing w:before="60" w:after="100"/>
        <w:jc w:val="both"/>
      </w:pPr>
      <w:r>
        <w:rPr>
          <w:rFonts w:ascii="Arial" w:cs="Arial" w:eastAsia="Arial" w:hAnsi="Arial"/>
          <w:sz w:val="22"/>
          <w:szCs w:val="22"/>
        </w:rPr>
        <w:t xml:space="preserve">We present and compare two implementations of a normalized similarity metric for Gaussian Mixture Models (GMMs) based on pairwise component-level Jaccard overlap of probability density functions. The first implementation, designated the </w:t>
      </w:r>
      <w:r>
        <w:rPr>
          <w:rFonts w:ascii="Arial" w:cs="Arial" w:eastAsia="Arial" w:hAnsi="Arial"/>
          <w:b/>
          <w:bCs/>
          <w:sz w:val="22"/>
          <w:szCs w:val="22"/>
        </w:rPr>
        <w:t xml:space="preserve">Numerical variant</w:t>
      </w:r>
      <w:r>
        <w:rPr>
          <w:rFonts w:ascii="Arial" w:cs="Arial" w:eastAsia="Arial" w:hAnsi="Arial"/>
          <w:sz w:val="22"/>
          <w:szCs w:val="22"/>
        </w:rPr>
        <w:t xml:space="preserve">, evaluates the Jaccard index via trapezoidal integration over a 10,000-point grid using scipy.stats.norm.pdf. The second, designated the </w:t>
      </w:r>
      <w:r>
        <w:rPr>
          <w:rFonts w:ascii="Arial" w:cs="Arial" w:eastAsia="Arial" w:hAnsi="Arial"/>
          <w:b/>
          <w:bCs/>
          <w:sz w:val="22"/>
          <w:szCs w:val="22"/>
        </w:rPr>
        <w:t xml:space="preserve">Analytical variant</w:t>
      </w:r>
      <w:r>
        <w:rPr>
          <w:rFonts w:ascii="Arial" w:cs="Arial" w:eastAsia="Arial" w:hAnsi="Arial"/>
          <w:sz w:val="22"/>
          <w:szCs w:val="22"/>
        </w:rPr>
        <w:t xml:space="preserve">, computes the Jaccard index exactly by (i) finding the analytical intersection point(s) of each Gaussian pair via closed-form linear or quadratic equations, (ii) partitioning the real line into at most three segments at those points, and (iii) integrating each segment exactly using math.erf through the Gaussian CDF. Both variants share the same AUC-priority greedy matching strategy across GMM components. The analytical variant achieves machine-precision accuracy (maximum absolute error versus the numerical variant: 9.4e-08) with a measured speedup of 10x to 20x per Jaccard evaluation on the test hardware. Both variants pass all 12 validation tests (100% pass rate). The matching algorithm is correctly characterized as greedy: it is AUC-priority ordered and exhaustive within the candidate set at each step, but does not guarantee globally optimal assignment across all component pairs.</w:t>
      </w:r>
    </w:p>
    <w:p>
      <w:pPr>
        <w:spacing w:before="120" w:after="0"/>
      </w:pPr>
      <w:r>
        <w:t xml:space="preserve"/>
      </w:r>
    </w:p>
    <w:p>
      <w:pPr>
        <w:pStyle w:val="Heading1"/>
        <w:spacing w:before="320" w:after="160"/>
      </w:pPr>
      <w:r>
        <w:rPr>
          <w:rFonts w:ascii="Arial" w:cs="Arial" w:eastAsia="Arial" w:hAnsi="Arial"/>
          <w:b/>
          <w:bCs/>
          <w:color w:val="2E4A7A"/>
          <w:sz w:val="28"/>
          <w:szCs w:val="28"/>
        </w:rPr>
        <w:t xml:space="preserve">1. Introduction</w:t>
      </w:r>
    </w:p>
    <w:p>
      <w:pPr>
        <w:spacing w:before="60" w:after="100"/>
        <w:jc w:val="both"/>
      </w:pPr>
      <w:r>
        <w:rPr>
          <w:rFonts w:ascii="Arial" w:cs="Arial" w:eastAsia="Arial" w:hAnsi="Arial"/>
          <w:sz w:val="22"/>
          <w:szCs w:val="22"/>
        </w:rPr>
        <w:t xml:space="preserve">Gaussian Mixture Models are a canonical tool for density estimation and unsupervised clustering in signal processing, neuroscience, and machine learning. A recurring practical requirement is the quantitative comparison of two GMMs — for instance, assessing whether an EEG spectral density profile has shifted between experimental conditions, or whether two population subgroups share a similar biomarker distribution.</w:t>
      </w:r>
    </w:p>
    <w:p>
      <w:pPr>
        <w:spacing w:before="80" w:after="0"/>
      </w:pPr>
      <w:r>
        <w:t xml:space="preserve"/>
      </w:r>
    </w:p>
    <w:p>
      <w:pPr>
        <w:spacing w:before="60" w:after="100"/>
        <w:jc w:val="both"/>
      </w:pPr>
      <w:r>
        <w:rPr>
          <w:rFonts w:ascii="Arial" w:cs="Arial" w:eastAsia="Arial" w:hAnsi="Arial"/>
          <w:sz w:val="22"/>
          <w:szCs w:val="22"/>
        </w:rPr>
        <w:t xml:space="preserve">Version 1 of this report introduced a normalized, symmetric similarity metric based on component-level Jaccard overlap, using a trapezoidal numerical integration as the computational backend. The present Version 2 adds an analytical variant that replaces numerical integration entirely with closed-form evaluations of the Gaussian CDF via the error function (erf). This report documents both variants, compares their numerical accuracy and computational performance, and clarifies the precise algorithmic characterization of the matching strategy.</w:t>
      </w:r>
    </w:p>
    <w:p>
      <w:pPr>
        <w:spacing w:before="120" w:after="0"/>
      </w:pPr>
      <w:r>
        <w:t xml:space="preserve"/>
      </w:r>
    </w:p>
    <w:p>
      <w:pPr>
        <w:pStyle w:val="Heading1"/>
        <w:spacing w:before="320" w:after="160"/>
      </w:pPr>
      <w:r>
        <w:rPr>
          <w:rFonts w:ascii="Arial" w:cs="Arial" w:eastAsia="Arial" w:hAnsi="Arial"/>
          <w:b/>
          <w:bCs/>
          <w:color w:val="2E4A7A"/>
          <w:sz w:val="28"/>
          <w:szCs w:val="28"/>
        </w:rPr>
        <w:t xml:space="preserve">2. Algorithmic Framework</w:t>
      </w:r>
    </w:p>
    <w:p>
      <w:pPr>
        <w:pStyle w:val="Heading2"/>
        <w:spacing w:before="240" w:after="120"/>
      </w:pPr>
      <w:r>
        <w:rPr>
          <w:rFonts w:ascii="Arial" w:cs="Arial" w:eastAsia="Arial" w:hAnsi="Arial"/>
          <w:b/>
          <w:bCs/>
          <w:color w:val="1A5276"/>
          <w:sz w:val="24"/>
          <w:szCs w:val="24"/>
        </w:rPr>
        <w:t xml:space="preserve">2.1  Jaccard Index on Probability Densities</w:t>
      </w:r>
    </w:p>
    <w:p>
      <w:pPr>
        <w:spacing w:before="60" w:after="100"/>
        <w:jc w:val="both"/>
      </w:pPr>
      <w:r>
        <w:rPr>
          <w:rFonts w:ascii="Arial" w:cs="Arial" w:eastAsia="Arial" w:hAnsi="Arial"/>
          <w:sz w:val="22"/>
          <w:szCs w:val="22"/>
        </w:rPr>
        <w:t xml:space="preserve">Given two weighted Gaussian components f1(x) = w1 * N(x; mu1, sigma1) and f2(x) = w2 * N(x; mu2, sigma2), the Jaccard index is defined as:</w:t>
      </w:r>
    </w:p>
    <w:p>
      <w:pPr>
        <w:spacing w:before="60" w:after="0"/>
      </w:pPr>
      <w:r>
        <w:t xml:space="preserve"/>
      </w:r>
    </w:p>
    <w:p>
      <w:pPr>
        <w:spacing w:before="40" w:after="40"/>
        <w:ind w:left="720"/>
      </w:pPr>
      <w:r>
        <w:rPr>
          <w:rFonts w:ascii="Courier New" w:cs="Courier New" w:eastAsia="Courier New" w:hAnsi="Courier New"/>
          <w:sz w:val="20"/>
          <w:szCs w:val="20"/>
        </w:rPr>
        <w:t xml:space="preserve">J(f1, f2) = integral(min(f1,f2) dx) / integral(max(f1,f2) dx)</w:t>
      </w:r>
    </w:p>
    <w:p>
      <w:pPr>
        <w:spacing w:before="60" w:after="0"/>
      </w:pPr>
      <w:r>
        <w:t xml:space="preserve"/>
      </w:r>
    </w:p>
    <w:p>
      <w:pPr>
        <w:spacing w:before="60" w:after="100"/>
        <w:jc w:val="both"/>
      </w:pPr>
      <w:r>
        <w:rPr>
          <w:rFonts w:ascii="Arial" w:cs="Arial" w:eastAsia="Arial" w:hAnsi="Arial"/>
          <w:sz w:val="22"/>
          <w:szCs w:val="22"/>
        </w:rPr>
        <w:t xml:space="preserve">This is the continuous analogue of the set-theoretic Jaccard index |A intersect B| / |A union B|. The metric is bounded J in [0,1], symmetric, and achieves J=1 if and only if f1=f2 almost everywhere.</w:t>
      </w:r>
    </w:p>
    <w:p>
      <w:pPr>
        <w:spacing w:before="120" w:after="0"/>
      </w:pPr>
      <w:r>
        <w:t xml:space="preserve"/>
      </w:r>
    </w:p>
    <w:p>
      <w:pPr>
        <w:pStyle w:val="Heading2"/>
        <w:spacing w:before="240" w:after="120"/>
      </w:pPr>
      <w:r>
        <w:rPr>
          <w:rFonts w:ascii="Arial" w:cs="Arial" w:eastAsia="Arial" w:hAnsi="Arial"/>
          <w:b/>
          <w:bCs/>
          <w:color w:val="1A5276"/>
          <w:sz w:val="24"/>
          <w:szCs w:val="24"/>
        </w:rPr>
        <w:t xml:space="preserve">2.2  AUC-Priority Greedy Matching</w:t>
      </w:r>
    </w:p>
    <w:p>
      <w:pPr>
        <w:spacing w:before="60" w:after="100"/>
        <w:jc w:val="both"/>
      </w:pPr>
      <w:r>
        <w:rPr>
          <w:rFonts w:ascii="Arial" w:cs="Arial" w:eastAsia="Arial" w:hAnsi="Arial"/>
          <w:sz w:val="22"/>
          <w:szCs w:val="22"/>
        </w:rPr>
        <w:t xml:space="preserve">The term </w:t>
      </w:r>
      <w:r>
        <w:rPr>
          <w:rFonts w:ascii="Arial" w:cs="Arial" w:eastAsia="Arial" w:hAnsi="Arial"/>
          <w:b/>
          <w:bCs/>
          <w:sz w:val="22"/>
          <w:szCs w:val="22"/>
        </w:rPr>
        <w:t xml:space="preserve">greedy</w:t>
      </w:r>
      <w:r>
        <w:rPr>
          <w:rFonts w:ascii="Arial" w:cs="Arial" w:eastAsia="Arial" w:hAnsi="Arial"/>
          <w:sz w:val="22"/>
          <w:szCs w:val="22"/>
        </w:rPr>
        <w:t xml:space="preserve"> is used in the strict algorithmic sense: at each step, the algorithm makes a locally optimal choice (the B-component maximizing Jaccard with the current A-component) without backtracking or reconsidering earlier decisions. The matching is </w:t>
      </w:r>
      <w:r>
        <w:rPr>
          <w:rFonts w:ascii="Arial" w:cs="Arial" w:eastAsia="Arial" w:hAnsi="Arial"/>
          <w:b/>
          <w:bCs/>
          <w:sz w:val="22"/>
          <w:szCs w:val="22"/>
        </w:rPr>
        <w:t xml:space="preserve">AUC-priority ordered</w:t>
      </w:r>
      <w:r>
        <w:rPr>
          <w:rFonts w:ascii="Arial" w:cs="Arial" w:eastAsia="Arial" w:hAnsi="Arial"/>
          <w:sz w:val="22"/>
          <w:szCs w:val="22"/>
        </w:rPr>
        <w:t xml:space="preserve">: components are processed in descending AUC order, ensuring that statistically dominant components drive the score. The algorithm is exhaustive within the remaining candidate set at each step but does not explore all possible complete assignments. For K components in each GMM, the greedy solution is identical to the globally optimal (Hungarian) assignment in almost all practical cases, because Jaccard scores between well-separated components are numerically zero.</w:t>
      </w:r>
    </w:p>
    <w:p>
      <w:pPr>
        <w:spacing w:before="80" w:after="0"/>
      </w:pPr>
      <w:r>
        <w:t xml:space="preserve"/>
      </w:r>
    </w:p>
    <w:p>
      <w:pPr>
        <w:spacing w:before="60" w:after="100"/>
        <w:jc w:val="both"/>
      </w:pPr>
      <w:r>
        <w:rPr>
          <w:rFonts w:ascii="Arial" w:cs="Arial" w:eastAsia="Arial" w:hAnsi="Arial"/>
          <w:sz w:val="22"/>
          <w:szCs w:val="22"/>
        </w:rPr>
        <w:t xml:space="preserve">The full matching procedure is:</w:t>
      </w:r>
    </w:p>
    <w:p>
      <w:pPr>
        <w:spacing w:before="80" w:after="0"/>
      </w:pPr>
      <w:r>
        <w:t xml:space="preserve"/>
      </w:r>
    </w:p>
    <w:p>
      <w:pPr>
        <w:pStyle w:val="ListParagraph"/>
        <w:numPr>
          <w:ilvl w:val="0"/>
          <w:numId w:val="2"/>
        </w:numPr>
        <w:spacing w:before="60" w:after="60"/>
      </w:pPr>
      <w:r>
        <w:rPr>
          <w:rFonts w:ascii="Arial" w:cs="Arial" w:eastAsia="Arial" w:hAnsi="Arial"/>
          <w:sz w:val="22"/>
          <w:szCs w:val="22"/>
        </w:rPr>
        <w:t xml:space="preserve">Sort GMM_A components by AUC descending: A[0], A[1], ..., A[K_A-1].</w:t>
      </w:r>
    </w:p>
    <w:p>
      <w:pPr>
        <w:pStyle w:val="ListParagraph"/>
        <w:numPr>
          <w:ilvl w:val="0"/>
          <w:numId w:val="2"/>
        </w:numPr>
        <w:spacing w:before="60" w:after="60"/>
      </w:pPr>
      <w:r>
        <w:rPr>
          <w:rFonts w:ascii="Arial" w:cs="Arial" w:eastAsia="Arial" w:hAnsi="Arial"/>
          <w:sz w:val="22"/>
          <w:szCs w:val="22"/>
        </w:rPr>
        <w:t xml:space="preserve">Sort GMM_B components by AUC descending: B[0], B[1], ..., B[K_B-1].</w:t>
      </w:r>
    </w:p>
    <w:p>
      <w:pPr>
        <w:pStyle w:val="ListParagraph"/>
        <w:numPr>
          <w:ilvl w:val="0"/>
          <w:numId w:val="2"/>
        </w:numPr>
        <w:spacing w:before="60" w:after="60"/>
      </w:pPr>
      <w:r>
        <w:rPr>
          <w:rFonts w:ascii="Arial" w:cs="Arial" w:eastAsia="Arial" w:hAnsi="Arial"/>
          <w:sz w:val="22"/>
          <w:szCs w:val="22"/>
        </w:rPr>
        <w:t xml:space="preserve">For i = 0 to min(K_A, K_B)-1: find j* in remaining B that maximizes J(A[i], B[j]). Record pair (A[i], B[j*]), remove B[j*] from candidates.</w:t>
      </w:r>
    </w:p>
    <w:p>
      <w:pPr>
        <w:pStyle w:val="ListParagraph"/>
        <w:numPr>
          <w:ilvl w:val="0"/>
          <w:numId w:val="2"/>
        </w:numPr>
        <w:spacing w:before="60" w:after="60"/>
      </w:pPr>
      <w:r>
        <w:rPr>
          <w:rFonts w:ascii="Arial" w:cs="Arial" w:eastAsia="Arial" w:hAnsi="Arial"/>
          <w:sz w:val="22"/>
          <w:szCs w:val="22"/>
        </w:rPr>
        <w:t xml:space="preserve">Normalize: S_norm = sum(J_i) / min(K_A, K_B), yielding S_norm in [0, 1].</w:t>
      </w:r>
    </w:p>
    <w:p>
      <w:pPr>
        <w:spacing w:before="120" w:after="0"/>
      </w:pPr>
      <w:r>
        <w:t xml:space="preserve"/>
      </w:r>
    </w:p>
    <w:p>
      <w:pPr>
        <w:pStyle w:val="Heading1"/>
        <w:spacing w:before="320" w:after="160"/>
      </w:pPr>
      <w:r>
        <w:rPr>
          <w:rFonts w:ascii="Arial" w:cs="Arial" w:eastAsia="Arial" w:hAnsi="Arial"/>
          <w:b/>
          <w:bCs/>
          <w:color w:val="2E4A7A"/>
          <w:sz w:val="28"/>
          <w:szCs w:val="28"/>
        </w:rPr>
        <w:t xml:space="preserve">3. Two Integration Variants</w:t>
      </w:r>
    </w:p>
    <w:p>
      <w:pPr>
        <w:pStyle w:val="Heading2"/>
        <w:spacing w:before="240" w:after="120"/>
      </w:pPr>
      <w:r>
        <w:rPr>
          <w:rFonts w:ascii="Arial" w:cs="Arial" w:eastAsia="Arial" w:hAnsi="Arial"/>
          <w:b/>
          <w:bCs/>
          <w:color w:val="1A5276"/>
          <w:sz w:val="24"/>
          <w:szCs w:val="24"/>
        </w:rPr>
        <w:t xml:space="preserve">3.1  Variant 1: Numerical (Trapezoidal)</w:t>
      </w:r>
    </w:p>
    <w:p>
      <w:pPr>
        <w:spacing w:before="60" w:after="100"/>
        <w:jc w:val="both"/>
      </w:pPr>
      <w:r>
        <w:rPr>
          <w:rFonts w:ascii="Arial" w:cs="Arial" w:eastAsia="Arial" w:hAnsi="Arial"/>
          <w:sz w:val="22"/>
          <w:szCs w:val="22"/>
        </w:rPr>
        <w:t xml:space="preserve">The numerical variant evaluates the Jaccard index by constructing a uniform grid of N=10,000 points spanning min(mu1,mu2) - 5*max(sigma1,sigma2) to max(mu1,mu2) + 5*max(sigma1,sigma2), evaluating the weighted PDFs on the grid using scipy.stats.norm.pdf, and applying the trapezoidal rule to integrate pointwise min and max arrays.</w:t>
      </w:r>
    </w:p>
    <w:p>
      <w:pPr>
        <w:spacing w:before="80" w:after="0"/>
      </w:pPr>
      <w:r>
        <w:t xml:space="preserve"/>
      </w:r>
    </w:p>
    <w:p>
      <w:pPr>
        <w:spacing w:before="60" w:after="100"/>
        <w:jc w:val="both"/>
      </w:pPr>
      <w:r>
        <w:rPr>
          <w:rFonts w:ascii="Arial" w:cs="Arial" w:eastAsia="Arial" w:hAnsi="Arial"/>
          <w:sz w:val="22"/>
          <w:szCs w:val="22"/>
        </w:rPr>
        <w:t xml:space="preserve">AUC normalization of GMM weights uses a reference grid of 10,000 points on [-20, 20] with the same trapezoidal rule.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57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Numerical variant</w:t>
            </w:r>
          </w:p>
        </w:tc>
      </w:tr>
      <w:tr>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left"/>
            </w:pPr>
            <w:r>
              <w:rPr>
                <w:rFonts w:ascii="Arial" w:cs="Arial" w:eastAsia="Arial" w:hAnsi="Arial"/>
                <w:sz w:val="20"/>
                <w:szCs w:val="20"/>
              </w:rPr>
              <w:t xml:space="preserve">Backend</w:t>
            </w:r>
          </w:p>
        </w:tc>
        <w:tc>
          <w:tcPr>
            <w:tcW w:type="dxa" w:w="5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scipy.stats.norm.pdf + np.trapezoid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Grid size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 = 10,000 points per Jaccard call</w:t>
            </w:r>
          </w:p>
        </w:tc>
      </w:tr>
      <w:tr>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left"/>
            </w:pPr>
            <w:r>
              <w:rPr>
                <w:rFonts w:ascii="Arial" w:cs="Arial" w:eastAsia="Arial" w:hAnsi="Arial"/>
                <w:sz w:val="20"/>
                <w:szCs w:val="20"/>
              </w:rPr>
              <w:t xml:space="preserve">Integration error</w:t>
            </w:r>
          </w:p>
        </w:tc>
        <w:tc>
          <w:tcPr>
            <w:tcW w:type="dxa" w:w="5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O(h^2) trapezoidal, h ~ 1e-3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Typical error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&lt; 1e-5 for well-separated gaussians</w:t>
            </w:r>
          </w:p>
        </w:tc>
      </w:tr>
      <w:tr>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left"/>
            </w:pPr>
            <w:r>
              <w:rPr>
                <w:rFonts w:ascii="Arial" w:cs="Arial" w:eastAsia="Arial" w:hAnsi="Arial"/>
                <w:sz w:val="20"/>
                <w:szCs w:val="20"/>
              </w:rPr>
              <w:t xml:space="preserve">Per-call cost</w:t>
            </w:r>
          </w:p>
        </w:tc>
        <w:tc>
          <w:tcPr>
            <w:tcW w:type="dxa" w:w="5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O(N) array allocations + vectorized ops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 per call (us)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420 - 530 us (measured, 2000 calls)</w:t>
            </w:r>
          </w:p>
        </w:tc>
      </w:tr>
      <w:tr>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left"/>
            </w:pPr>
            <w:r>
              <w:rPr>
                <w:rFonts w:ascii="Arial" w:cs="Arial" w:eastAsia="Arial" w:hAnsi="Arial"/>
                <w:sz w:val="20"/>
                <w:szCs w:val="20"/>
              </w:rPr>
              <w:t xml:space="preserve">Dependencies</w:t>
            </w:r>
          </w:p>
        </w:tc>
        <w:tc>
          <w:tcPr>
            <w:tcW w:type="dxa" w:w="5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numpy, scipy</w:t>
            </w:r>
          </w:p>
        </w:tc>
      </w:tr>
    </w:tbl>
    <w:p>
      <w:pPr>
        <w:spacing w:before="120" w:after="0"/>
      </w:pPr>
      <w:r>
        <w:t xml:space="preserve"/>
      </w:r>
    </w:p>
    <w:p>
      <w:pPr>
        <w:pStyle w:val="Heading2"/>
        <w:spacing w:before="240" w:after="120"/>
      </w:pPr>
      <w:r>
        <w:rPr>
          <w:rFonts w:ascii="Arial" w:cs="Arial" w:eastAsia="Arial" w:hAnsi="Arial"/>
          <w:b/>
          <w:bCs/>
          <w:color w:val="1A5276"/>
          <w:sz w:val="24"/>
          <w:szCs w:val="24"/>
        </w:rPr>
        <w:t xml:space="preserve">3.2  Variant 2: Analytical (erf-based)</w:t>
      </w:r>
    </w:p>
    <w:p>
      <w:pPr>
        <w:spacing w:before="60" w:after="100"/>
        <w:jc w:val="both"/>
      </w:pPr>
      <w:r>
        <w:rPr>
          <w:rFonts w:ascii="Arial" w:cs="Arial" w:eastAsia="Arial" w:hAnsi="Arial"/>
          <w:sz w:val="22"/>
          <w:szCs w:val="22"/>
        </w:rPr>
        <w:t xml:space="preserve">The analytical variant eliminates the numerical grid entirely. It proceeds in three steps per Jaccard call.</w:t>
      </w:r>
    </w:p>
    <w:p>
      <w:pPr>
        <w:spacing w:before="80" w:after="0"/>
      </w:pPr>
      <w:r>
        <w:t xml:space="preserve"/>
      </w:r>
    </w:p>
    <w:p>
      <w:pPr>
        <w:spacing w:before="200" w:after="100"/>
      </w:pPr>
      <w:r>
        <w:rPr>
          <w:rFonts w:ascii="Arial" w:cs="Arial" w:eastAsia="Arial" w:hAnsi="Arial"/>
          <w:b/>
          <w:bCs/>
          <w:color w:val="1F618D"/>
          <w:sz w:val="22"/>
          <w:szCs w:val="22"/>
        </w:rPr>
        <w:t xml:space="preserve">Step A: Find Analytical Intersection Points</w:t>
      </w:r>
    </w:p>
    <w:p>
      <w:pPr>
        <w:spacing w:before="60" w:after="100"/>
        <w:jc w:val="both"/>
      </w:pPr>
      <w:r>
        <w:rPr>
          <w:rFonts w:ascii="Arial" w:cs="Arial" w:eastAsia="Arial" w:hAnsi="Arial"/>
          <w:sz w:val="22"/>
          <w:szCs w:val="22"/>
        </w:rPr>
        <w:t xml:space="preserve">Setting f1(x) = f2(x) and taking logarithms yields a quadratic equation in x when sigma1 != sigma2, or a linear equation when sigma1 = sigma2. The discriminant determines whether 0, 1, or 2 real intersections exist.</w:t>
      </w:r>
    </w:p>
    <w:p>
      <w:pPr>
        <w:spacing w:before="60" w:after="0"/>
      </w:pPr>
      <w:r>
        <w:t xml:space="preserve"/>
      </w:r>
    </w:p>
    <w:p>
      <w:pPr>
        <w:spacing w:before="40" w:after="20"/>
        <w:ind w:left="720"/>
      </w:pPr>
      <w:r>
        <w:rPr>
          <w:rFonts w:ascii="Courier New" w:cs="Courier New" w:eastAsia="Courier New" w:hAnsi="Courier New"/>
          <w:sz w:val="18"/>
          <w:szCs w:val="18"/>
        </w:rPr>
        <w:t xml:space="preserve">Equal sigma:   x = (mu1+mu2)/2 + (sigma^2/(mu2-mu1)) * ln(w1/w2)</w:t>
      </w:r>
    </w:p>
    <w:p>
      <w:pPr>
        <w:spacing w:before="20" w:after="40"/>
        <w:ind w:left="720"/>
      </w:pPr>
      <w:r>
        <w:rPr>
          <w:rFonts w:ascii="Courier New" w:cs="Courier New" w:eastAsia="Courier New" w:hAnsi="Courier New"/>
          <w:sz w:val="18"/>
          <w:szCs w:val="18"/>
        </w:rPr>
        <w:t xml:space="preserve">Unequal sigma: A*x^2 + B*x + C = 0  (solve analytically)</w:t>
      </w:r>
    </w:p>
    <w:p>
      <w:pPr>
        <w:spacing w:before="80" w:after="0"/>
      </w:pPr>
      <w:r>
        <w:t xml:space="preserve"/>
      </w:r>
    </w:p>
    <w:p>
      <w:pPr>
        <w:spacing w:before="200" w:after="100"/>
      </w:pPr>
      <w:r>
        <w:rPr>
          <w:rFonts w:ascii="Arial" w:cs="Arial" w:eastAsia="Arial" w:hAnsi="Arial"/>
          <w:b/>
          <w:bCs/>
          <w:color w:val="1F618D"/>
          <w:sz w:val="22"/>
          <w:szCs w:val="22"/>
        </w:rPr>
        <w:t xml:space="preserve">Step B: Segment the Domain</w:t>
      </w:r>
    </w:p>
    <w:p>
      <w:pPr>
        <w:spacing w:before="60" w:after="100"/>
        <w:jc w:val="both"/>
      </w:pPr>
      <w:r>
        <w:rPr>
          <w:rFonts w:ascii="Arial" w:cs="Arial" w:eastAsia="Arial" w:hAnsi="Arial"/>
          <w:sz w:val="22"/>
          <w:szCs w:val="22"/>
        </w:rPr>
        <w:t xml:space="preserve">The intersection points (at most 2) partition the real line into at most 3 segments. On each segment, one Gaussian strictly dominates (is larger) everywhere, determined by evaluating both PDFs at the segment midpoint using scalar math.exp calls — no array operations.</w:t>
      </w:r>
    </w:p>
    <w:p>
      <w:pPr>
        <w:spacing w:before="80" w:after="0"/>
      </w:pPr>
      <w:r>
        <w:t xml:space="preserve"/>
      </w:r>
    </w:p>
    <w:p>
      <w:pPr>
        <w:spacing w:before="200" w:after="100"/>
      </w:pPr>
      <w:r>
        <w:rPr>
          <w:rFonts w:ascii="Arial" w:cs="Arial" w:eastAsia="Arial" w:hAnsi="Arial"/>
          <w:b/>
          <w:bCs/>
          <w:color w:val="1F618D"/>
          <w:sz w:val="22"/>
          <w:szCs w:val="22"/>
        </w:rPr>
        <w:t xml:space="preserve">Step C: Integrate Each Segment via erf</w:t>
      </w:r>
    </w:p>
    <w:p>
      <w:pPr>
        <w:spacing w:before="60" w:after="100"/>
        <w:jc w:val="both"/>
      </w:pPr>
      <w:r>
        <w:rPr>
          <w:rFonts w:ascii="Arial" w:cs="Arial" w:eastAsia="Arial" w:hAnsi="Arial"/>
          <w:sz w:val="22"/>
          <w:szCs w:val="22"/>
        </w:rPr>
        <w:t xml:space="preserve">The exact AUC of a weighted Gaussian over any interval [a, b] is:</w:t>
      </w:r>
    </w:p>
    <w:p>
      <w:pPr>
        <w:spacing w:before="60" w:after="0"/>
      </w:pPr>
      <w:r>
        <w:t xml:space="preserve"/>
      </w:r>
    </w:p>
    <w:p>
      <w:pPr>
        <w:spacing w:before="40" w:after="40"/>
        <w:ind w:left="720"/>
      </w:pPr>
      <w:r>
        <w:rPr>
          <w:rFonts w:ascii="Courier New" w:cs="Courier New" w:eastAsia="Courier New" w:hAnsi="Courier New"/>
          <w:sz w:val="18"/>
          <w:szCs w:val="18"/>
        </w:rPr>
        <w:t xml:space="preserve">AUC(mu, sigma, w, a, b) = w * (CDF(b) - CDF(a))  where CDF(x) = 0.5*(1 + erf((x-mu)/(sigma*sqrt(2))))</w:t>
      </w:r>
    </w:p>
    <w:p>
      <w:pPr>
        <w:spacing w:before="60" w:after="0"/>
      </w:pPr>
      <w:r>
        <w:t xml:space="preserve"/>
      </w:r>
    </w:p>
    <w:p>
      <w:pPr>
        <w:spacing w:before="60" w:after="100"/>
        <w:jc w:val="both"/>
      </w:pPr>
      <w:r>
        <w:rPr>
          <w:rFonts w:ascii="Arial" w:cs="Arial" w:eastAsia="Arial" w:hAnsi="Arial"/>
          <w:sz w:val="22"/>
          <w:szCs w:val="22"/>
        </w:rPr>
        <w:t xml:space="preserve">Each segment contributes its AUC to either the intersection or the union accumulator depending on which Gaussian is smaller. The total is at most 3 * 2 = 6 erf evaluations per Jaccard call.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57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Analytical variant</w:t>
            </w:r>
          </w:p>
        </w:tc>
      </w:tr>
      <w:tr>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left"/>
            </w:pPr>
            <w:r>
              <w:rPr>
                <w:rFonts w:ascii="Arial" w:cs="Arial" w:eastAsia="Arial" w:hAnsi="Arial"/>
                <w:sz w:val="20"/>
                <w:szCs w:val="20"/>
              </w:rPr>
              <w:t xml:space="preserve">Backend</w:t>
            </w:r>
          </w:p>
        </w:tc>
        <w:tc>
          <w:tcPr>
            <w:tcW w:type="dxa" w:w="5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math.erf + math.exp (scalar C-level)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Grid size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None — no array allocation</w:t>
            </w:r>
          </w:p>
        </w:tc>
      </w:tr>
      <w:tr>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left"/>
            </w:pPr>
            <w:r>
              <w:rPr>
                <w:rFonts w:ascii="Arial" w:cs="Arial" w:eastAsia="Arial" w:hAnsi="Arial"/>
                <w:sz w:val="20"/>
                <w:szCs w:val="20"/>
              </w:rPr>
              <w:t xml:space="preserve">Integration error</w:t>
            </w:r>
          </w:p>
        </w:tc>
        <w:tc>
          <w:tcPr>
            <w:tcW w:type="dxa" w:w="5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Machine epsilon (~1e-16)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Typical error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&lt; 1e-7 vs numerical reference</w:t>
            </w:r>
          </w:p>
        </w:tc>
      </w:tr>
      <w:tr>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left"/>
            </w:pPr>
            <w:r>
              <w:rPr>
                <w:rFonts w:ascii="Arial" w:cs="Arial" w:eastAsia="Arial" w:hAnsi="Arial"/>
                <w:sz w:val="20"/>
                <w:szCs w:val="20"/>
              </w:rPr>
              <w:t xml:space="preserve">Per-call cost</w:t>
            </w:r>
          </w:p>
        </w:tc>
        <w:tc>
          <w:tcPr>
            <w:tcW w:type="dxa" w:w="5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O(K) scalar calls, K &lt;= 3 segments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 per call (us)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23 - 50 us (measured, 2000 calls)</w:t>
            </w:r>
          </w:p>
        </w:tc>
      </w:tr>
      <w:tr>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left"/>
            </w:pPr>
            <w:r>
              <w:rPr>
                <w:rFonts w:ascii="Arial" w:cs="Arial" w:eastAsia="Arial" w:hAnsi="Arial"/>
                <w:sz w:val="20"/>
                <w:szCs w:val="20"/>
              </w:rPr>
              <w:t xml:space="preserve">Dependencies</w:t>
            </w:r>
          </w:p>
        </w:tc>
        <w:tc>
          <w:tcPr>
            <w:tcW w:type="dxa" w:w="5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numpy (for GMM fitting only), math</w:t>
            </w:r>
          </w:p>
        </w:tc>
      </w:tr>
    </w:tbl>
    <w:p>
      <w:pPr>
        <w:spacing w:before="120" w:after="0"/>
      </w:pPr>
      <w:r>
        <w:t xml:space="preserve"/>
      </w:r>
    </w:p>
    <w:p>
      <w:pPr>
        <w:pStyle w:val="Heading2"/>
        <w:spacing w:before="240" w:after="120"/>
      </w:pPr>
      <w:r>
        <w:rPr>
          <w:rFonts w:ascii="Arial" w:cs="Arial" w:eastAsia="Arial" w:hAnsi="Arial"/>
          <w:b/>
          <w:bCs/>
          <w:color w:val="1A5276"/>
          <w:sz w:val="24"/>
          <w:szCs w:val="24"/>
        </w:rPr>
        <w:t xml:space="preserve">3.3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312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Numerical (trapz)</w:t>
            </w:r>
          </w:p>
        </w:tc>
        <w:tc>
          <w:tcPr>
            <w:tcW w:type="dxa" w:w="312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Analytical (erf)</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left"/>
            </w:pPr>
            <w:r>
              <w:rPr>
                <w:rFonts w:ascii="Arial" w:cs="Arial" w:eastAsia="Arial" w:hAnsi="Arial"/>
                <w:sz w:val="20"/>
                <w:szCs w:val="20"/>
              </w:rPr>
              <w:t xml:space="preserve">Integration</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Trapezoidal, N=10k points</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Exact via erf CDF</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Accuracy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O(h^2) ~ 1e-5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Machine epsilon ~ 1e-16</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left"/>
            </w:pPr>
            <w:r>
              <w:rPr>
                <w:rFonts w:ascii="Arial" w:cs="Arial" w:eastAsia="Arial" w:hAnsi="Arial"/>
                <w:sz w:val="20"/>
                <w:szCs w:val="20"/>
              </w:rPr>
              <w:t xml:space="preserve">Speed (us/call)</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420 - 530</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23 - 50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Speedup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baseline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10x - 20x</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left"/>
            </w:pPr>
            <w:r>
              <w:rPr>
                <w:rFonts w:ascii="Arial" w:cs="Arial" w:eastAsia="Arial" w:hAnsi="Arial"/>
                <w:sz w:val="20"/>
                <w:szCs w:val="20"/>
              </w:rPr>
              <w:t xml:space="preserve">Array allocation</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Yes (10k floats x2)</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None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Handles 0 intersections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Yes</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left"/>
            </w:pPr>
            <w:r>
              <w:rPr>
                <w:rFonts w:ascii="Arial" w:cs="Arial" w:eastAsia="Arial" w:hAnsi="Arial"/>
                <w:sz w:val="20"/>
                <w:szCs w:val="20"/>
              </w:rPr>
              <w:t xml:space="preserve">Handles 1 intersection</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Yes (linear case)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Handles 2 intersections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Yes (quadratic case)</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left"/>
            </w:pPr>
            <w:r>
              <w:rPr>
                <w:rFonts w:ascii="Arial" w:cs="Arial" w:eastAsia="Arial" w:hAnsi="Arial"/>
                <w:sz w:val="20"/>
                <w:szCs w:val="20"/>
              </w:rPr>
              <w:t xml:space="preserve">Equal sigma</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Yes (special case)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Identical Gaussians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J=1.0 (to grid precision)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J=1.0 (exact)</w:t>
            </w:r>
          </w:p>
        </w:tc>
      </w:tr>
    </w:tbl>
    <w:p>
      <w:pPr>
        <w:spacing w:before="120" w:after="0"/>
      </w:pPr>
      <w:r>
        <w:t xml:space="preserve"/>
      </w:r>
    </w:p>
    <w:p>
      <w:pPr>
        <w:pStyle w:val="Heading1"/>
        <w:spacing w:before="320" w:after="160"/>
      </w:pPr>
      <w:r>
        <w:rPr>
          <w:rFonts w:ascii="Arial" w:cs="Arial" w:eastAsia="Arial" w:hAnsi="Arial"/>
          <w:b/>
          <w:bCs/>
          <w:color w:val="2E4A7A"/>
          <w:sz w:val="28"/>
          <w:szCs w:val="28"/>
        </w:rPr>
        <w:t xml:space="preserve">4. Numerical Results</w:t>
      </w:r>
    </w:p>
    <w:p>
      <w:pPr>
        <w:pStyle w:val="Heading2"/>
        <w:spacing w:before="240" w:after="120"/>
      </w:pPr>
      <w:r>
        <w:rPr>
          <w:rFonts w:ascii="Arial" w:cs="Arial" w:eastAsia="Arial" w:hAnsi="Arial"/>
          <w:b/>
          <w:bCs/>
          <w:color w:val="1A5276"/>
          <w:sz w:val="24"/>
          <w:szCs w:val="24"/>
        </w:rPr>
        <w:t xml:space="preserve">4.1  Correctness Verification</w:t>
      </w:r>
    </w:p>
    <w:p>
      <w:pPr>
        <w:spacing w:before="60" w:after="100"/>
        <w:jc w:val="both"/>
      </w:pPr>
      <w:r>
        <w:rPr>
          <w:rFonts w:ascii="Arial" w:cs="Arial" w:eastAsia="Arial" w:hAnsi="Arial"/>
          <w:sz w:val="22"/>
          <w:szCs w:val="22"/>
        </w:rPr>
        <w:t xml:space="preserve">The analytical variant was compared against the numerical variant on 5 representative test cases. Both were executed on the same hardware (Python 3.11, NumPy 2.x) with N_BENCH=2000 repetitions.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80"/>
        <w:gridCol w:w="1680"/>
        <w:gridCol w:w="1800"/>
      </w:tblGrid>
      <w:tr>
        <w:trPr>
          <w:tblHeader/>
        </w:trPr>
        <w:tc>
          <w:tcPr>
            <w:tcW w:type="dxa" w:w="4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case</w:t>
            </w:r>
          </w:p>
        </w:tc>
        <w:tc>
          <w:tcPr>
            <w:tcW w:type="dxa" w:w="168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Analytical (erf)</w:t>
            </w:r>
          </w:p>
        </w:tc>
        <w:tc>
          <w:tcPr>
            <w:tcW w:type="dxa" w:w="168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Numerical (trapz)</w:t>
            </w:r>
          </w:p>
        </w:tc>
        <w:tc>
          <w:tcPr>
            <w:tcW w:type="dxa" w:w="1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|diff|</w:t>
            </w:r>
          </w:p>
        </w:tc>
      </w:tr>
      <w:tr>
        <w:tc>
          <w:tcPr>
            <w:tcW w:type="dxa" w:w="4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left"/>
            </w:pPr>
            <w:r>
              <w:rPr>
                <w:rFonts w:ascii="Arial" w:cs="Arial" w:eastAsia="Arial" w:hAnsi="Arial"/>
                <w:sz w:val="20"/>
                <w:szCs w:val="20"/>
              </w:rPr>
              <w:t xml:space="preserve">Different sigma (mu=0,2; s=1,1.5; w=0.5,0.5)</w:t>
            </w:r>
          </w:p>
        </w:tc>
        <w:tc>
          <w:tcPr>
            <w:tcW w:type="dxa" w:w="1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0.257772</w:t>
            </w:r>
          </w:p>
        </w:tc>
        <w:tc>
          <w:tcPr>
            <w:tcW w:type="dxa" w:w="1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0.257772</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9.4e-08</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Same mu, diff weight (mu=0,0; w=0.3,0.7)</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0.428571</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0.428571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5.6e-17</w:t>
            </w:r>
          </w:p>
        </w:tc>
      </w:tr>
      <w:tr>
        <w:tc>
          <w:tcPr>
            <w:tcW w:type="dxa" w:w="4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left"/>
            </w:pPr>
            <w:r>
              <w:rPr>
                <w:rFonts w:ascii="Arial" w:cs="Arial" w:eastAsia="Arial" w:hAnsi="Arial"/>
                <w:sz w:val="20"/>
                <w:szCs w:val="20"/>
              </w:rPr>
              <w:t xml:space="preserve">Well separated (mu=-2,2; s=0.5,1; w=0.3,0.5)</w:t>
            </w:r>
          </w:p>
        </w:tc>
        <w:tc>
          <w:tcPr>
            <w:tcW w:type="dxa" w:w="1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0.003829</w:t>
            </w:r>
          </w:p>
        </w:tc>
        <w:tc>
          <w:tcPr>
            <w:tcW w:type="dxa" w:w="1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0.003829</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1.3e-10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Near-identical (mu=0,0.1; s=1,1; w=0.5,0.5)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0.923303</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0.923303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1.8e-07</w:t>
            </w:r>
          </w:p>
        </w:tc>
      </w:tr>
      <w:tr>
        <w:tc>
          <w:tcPr>
            <w:tcW w:type="dxa" w:w="4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left"/>
            </w:pPr>
            <w:r>
              <w:rPr>
                <w:rFonts w:ascii="Arial" w:cs="Arial" w:eastAsia="Arial" w:hAnsi="Arial"/>
                <w:sz w:val="20"/>
                <w:szCs w:val="20"/>
              </w:rPr>
              <w:t xml:space="preserve">Identical (mu=0,0; s=1,1; w=0.5,0.5)</w:t>
            </w:r>
          </w:p>
        </w:tc>
        <w:tc>
          <w:tcPr>
            <w:tcW w:type="dxa" w:w="1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1.000000</w:t>
            </w:r>
          </w:p>
        </w:tc>
        <w:tc>
          <w:tcPr>
            <w:tcW w:type="dxa" w:w="1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1.000000</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0.0e+00</w:t>
            </w:r>
          </w:p>
        </w:tc>
      </w:tr>
    </w:tbl>
    <w:p>
      <w:pPr>
        <w:spacing w:before="120" w:after="0"/>
      </w:pPr>
      <w:r>
        <w:t xml:space="preserve"/>
      </w:r>
    </w:p>
    <w:p>
      <w:pPr>
        <w:spacing w:before="60" w:after="100"/>
        <w:jc w:val="both"/>
      </w:pPr>
      <w:r>
        <w:rPr>
          <w:rFonts w:ascii="Arial" w:cs="Arial" w:eastAsia="Arial" w:hAnsi="Arial"/>
          <w:sz w:val="22"/>
          <w:szCs w:val="22"/>
        </w:rPr>
        <w:t xml:space="preserve">The maximum absolute difference across all test cases is 9.4e-08, well within the O(h^2) trapezoidal error budget. The analytical variant correctly handles all structural cases including identical distributions (exact J=1), zero-overlap cases, and the same-mean different-weight scenario (exact J = 2*min(w1,w2)/(w1+w2) = 0.428571 for w1=0.3, w2=0.7).</w:t>
      </w:r>
    </w:p>
    <w:p>
      <w:pPr>
        <w:spacing w:before="120" w:after="0"/>
      </w:pPr>
      <w:r>
        <w:t xml:space="preserve"/>
      </w:r>
    </w:p>
    <w:p>
      <w:pPr>
        <w:pStyle w:val="Heading2"/>
        <w:spacing w:before="240" w:after="120"/>
      </w:pPr>
      <w:r>
        <w:rPr>
          <w:rFonts w:ascii="Arial" w:cs="Arial" w:eastAsia="Arial" w:hAnsi="Arial"/>
          <w:b/>
          <w:bCs/>
          <w:color w:val="1A5276"/>
          <w:sz w:val="24"/>
          <w:szCs w:val="24"/>
        </w:rPr>
        <w:t xml:space="preserve">4.2  Speedup Benchmark</w:t>
      </w:r>
    </w:p>
    <w:p>
      <w:pPr>
        <w:spacing w:before="60" w:after="100"/>
        <w:jc w:val="both"/>
      </w:pPr>
      <w:r>
        <w:rPr>
          <w:rFonts w:ascii="Arial" w:cs="Arial" w:eastAsia="Arial" w:hAnsi="Arial"/>
          <w:sz w:val="22"/>
          <w:szCs w:val="22"/>
        </w:rPr>
        <w:t xml:space="preserve">Benchmark conditions: Python 3.11.7, NumPy 2.x, 2000 repetitions per case, measured with timeit on the same process.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80"/>
        <w:gridCol w:w="1680"/>
        <w:gridCol w:w="1800"/>
      </w:tblGrid>
      <w:tr>
        <w:trPr>
          <w:tblHeader/>
        </w:trPr>
        <w:tc>
          <w:tcPr>
            <w:tcW w:type="dxa" w:w="4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case</w:t>
            </w:r>
          </w:p>
        </w:tc>
        <w:tc>
          <w:tcPr>
            <w:tcW w:type="dxa" w:w="168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t_erf (us)</w:t>
            </w:r>
          </w:p>
        </w:tc>
        <w:tc>
          <w:tcPr>
            <w:tcW w:type="dxa" w:w="168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t_num (us)</w:t>
            </w:r>
          </w:p>
        </w:tc>
        <w:tc>
          <w:tcPr>
            <w:tcW w:type="dxa" w:w="1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Speedup</w:t>
            </w:r>
          </w:p>
        </w:tc>
      </w:tr>
      <w:tr>
        <w:tc>
          <w:tcPr>
            <w:tcW w:type="dxa" w:w="4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left"/>
            </w:pPr>
            <w:r>
              <w:rPr>
                <w:rFonts w:ascii="Arial" w:cs="Arial" w:eastAsia="Arial" w:hAnsi="Arial"/>
                <w:sz w:val="20"/>
                <w:szCs w:val="20"/>
              </w:rPr>
              <w:t xml:space="preserve">Different sigma</w:t>
            </w:r>
          </w:p>
        </w:tc>
        <w:tc>
          <w:tcPr>
            <w:tcW w:type="dxa" w:w="1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49.4</w:t>
            </w:r>
          </w:p>
        </w:tc>
        <w:tc>
          <w:tcPr>
            <w:tcW w:type="dxa" w:w="1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503.5</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10.2x</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Same mu, diff weight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27.9</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525.7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18.8x</w:t>
            </w:r>
          </w:p>
        </w:tc>
      </w:tr>
      <w:tr>
        <w:tc>
          <w:tcPr>
            <w:tcW w:type="dxa" w:w="4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left"/>
            </w:pPr>
            <w:r>
              <w:rPr>
                <w:rFonts w:ascii="Arial" w:cs="Arial" w:eastAsia="Arial" w:hAnsi="Arial"/>
                <w:sz w:val="20"/>
                <w:szCs w:val="20"/>
              </w:rPr>
              <w:t xml:space="preserve">Well separated</w:t>
            </w:r>
          </w:p>
        </w:tc>
        <w:tc>
          <w:tcPr>
            <w:tcW w:type="dxa" w:w="1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34.2</w:t>
            </w:r>
          </w:p>
        </w:tc>
        <w:tc>
          <w:tcPr>
            <w:tcW w:type="dxa" w:w="1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470.1</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13.8x</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Near-identical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36.8</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478.8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13.0x</w:t>
            </w:r>
          </w:p>
        </w:tc>
      </w:tr>
      <w:tr>
        <w:tc>
          <w:tcPr>
            <w:tcW w:type="dxa" w:w="4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left"/>
            </w:pPr>
            <w:r>
              <w:rPr>
                <w:rFonts w:ascii="Arial" w:cs="Arial" w:eastAsia="Arial" w:hAnsi="Arial"/>
                <w:sz w:val="20"/>
                <w:szCs w:val="20"/>
              </w:rPr>
              <w:t xml:space="preserve">Identical</w:t>
            </w:r>
          </w:p>
        </w:tc>
        <w:tc>
          <w:tcPr>
            <w:tcW w:type="dxa" w:w="1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23.4</w:t>
            </w:r>
          </w:p>
        </w:tc>
        <w:tc>
          <w:tcPr>
            <w:tcW w:type="dxa" w:w="1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450.5</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19.2x</w:t>
            </w:r>
          </w:p>
        </w:tc>
      </w:tr>
    </w:tbl>
    <w:p>
      <w:pPr>
        <w:spacing w:before="120" w:after="0"/>
      </w:pPr>
      <w:r>
        <w:t xml:space="preserve"/>
      </w:r>
    </w:p>
    <w:p>
      <w:pPr>
        <w:spacing w:before="60" w:after="100"/>
        <w:jc w:val="both"/>
      </w:pPr>
      <w:r>
        <w:rPr>
          <w:rFonts w:ascii="Arial" w:cs="Arial" w:eastAsia="Arial" w:hAnsi="Arial"/>
          <w:sz w:val="22"/>
          <w:szCs w:val="22"/>
        </w:rPr>
        <w:t xml:space="preserve">The speedup ranges from 10x to 19x across cases. The identical-distribution case is fastest for the analytical variant because no quadratic solve is needed and the segment loop degenerates to a single erf pair. The numerical variant shows nearly constant cost (~450-530 us) because it always allocates and fills a 10,000-point array regardless of distribution geometry.</w:t>
      </w:r>
    </w:p>
    <w:p>
      <w:pPr>
        <w:spacing w:before="80" w:after="0"/>
      </w:pPr>
      <w:r>
        <w:t xml:space="preserve"/>
      </w:r>
    </w:p>
    <w:p>
      <w:pPr>
        <w:spacing w:before="60" w:after="100"/>
        <w:jc w:val="both"/>
      </w:pPr>
      <w:r>
        <w:rPr>
          <w:rFonts w:ascii="Arial" w:cs="Arial" w:eastAsia="Arial" w:hAnsi="Arial"/>
          <w:sz w:val="22"/>
          <w:szCs w:val="22"/>
        </w:rPr>
        <w:t xml:space="preserve">The speedup is lower than the theoretical ~95x estimated in early standalone benchmarks because in a full notebook context, Python function-call overhead, import caching, and JIT warm-up effects dominate for short computations. The measured 10-20x is the realistic operational speedup.</w:t>
      </w:r>
    </w:p>
    <w:p>
      <w:pPr>
        <w:spacing w:before="120" w:after="0"/>
      </w:pPr>
      <w:r>
        <w:t xml:space="preserve"/>
      </w:r>
    </w:p>
    <w:p>
      <w:pPr>
        <w:pStyle w:val="Heading2"/>
        <w:spacing w:before="240" w:after="120"/>
      </w:pPr>
      <w:r>
        <w:rPr>
          <w:rFonts w:ascii="Arial" w:cs="Arial" w:eastAsia="Arial" w:hAnsi="Arial"/>
          <w:b/>
          <w:bCs/>
          <w:color w:val="1A5276"/>
          <w:sz w:val="24"/>
          <w:szCs w:val="24"/>
        </w:rPr>
        <w:t xml:space="preserve">4.3  GMM-Level Score Agreement</w:t>
      </w:r>
    </w:p>
    <w:p>
      <w:pPr>
        <w:spacing w:before="60" w:after="100"/>
        <w:jc w:val="both"/>
      </w:pPr>
      <w:r>
        <w:rPr>
          <w:rFonts w:ascii="Arial" w:cs="Arial" w:eastAsia="Arial" w:hAnsi="Arial"/>
          <w:sz w:val="22"/>
          <w:szCs w:val="22"/>
        </w:rPr>
        <w:t xml:space="preserve">Both variants were run on the same GMM pair (GMM_A: 3 components from 4-mode data, GMM_B: 3 components from 3-mode data, np.random.seed(42)):</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1200"/>
        <w:gridCol w:w="1800"/>
        <w:gridCol w:w="1800"/>
        <w:gridCol w:w="1800"/>
      </w:tblGrid>
      <w:tr>
        <w:trPr>
          <w:tblHeader/>
        </w:trPr>
        <w:tc>
          <w:tcPr>
            <w:tcW w:type="dxa" w:w="15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Match</w:t>
            </w:r>
          </w:p>
        </w:tc>
        <w:tc>
          <w:tcPr>
            <w:tcW w:type="dxa" w:w="1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AUC_A</w:t>
            </w:r>
          </w:p>
        </w:tc>
        <w:tc>
          <w:tcPr>
            <w:tcW w:type="dxa" w:w="1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AUC_B</w:t>
            </w:r>
          </w:p>
        </w:tc>
        <w:tc>
          <w:tcPr>
            <w:tcW w:type="dxa" w:w="1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Jaccard (numerical)</w:t>
            </w:r>
          </w:p>
        </w:tc>
        <w:tc>
          <w:tcPr>
            <w:tcW w:type="dxa" w:w="1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Jaccard (analytical)</w:t>
            </w:r>
          </w:p>
        </w:tc>
        <w:tc>
          <w:tcPr>
            <w:tcW w:type="dxa" w:w="1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|diff|</w:t>
            </w:r>
          </w:p>
        </w:tc>
      </w:tr>
      <w:tr>
        <w:tc>
          <w:tcPr>
            <w:tcW w:type="dxa" w:w="1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left"/>
            </w:pPr>
            <w:r>
              <w:rPr>
                <w:rFonts w:ascii="Arial" w:cs="Arial" w:eastAsia="Arial" w:hAnsi="Arial"/>
                <w:sz w:val="20"/>
                <w:szCs w:val="20"/>
              </w:rPr>
              <w:t xml:space="preserve">A[0] -&gt; B[0]</w:t>
            </w:r>
          </w:p>
        </w:tc>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0.3858</w:t>
            </w:r>
          </w:p>
        </w:tc>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0.4473</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0.561297</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0.561297</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&lt; 1e-6</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A[1] -&gt; B[1]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0.3758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0.168696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0.168696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&lt; 1e-6</w:t>
            </w:r>
          </w:p>
        </w:tc>
      </w:tr>
      <w:tr>
        <w:tc>
          <w:tcPr>
            <w:tcW w:type="dxa" w:w="1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left"/>
            </w:pPr>
            <w:r>
              <w:rPr>
                <w:rFonts w:ascii="Arial" w:cs="Arial" w:eastAsia="Arial" w:hAnsi="Arial"/>
                <w:sz w:val="20"/>
                <w:szCs w:val="20"/>
              </w:rPr>
              <w:t xml:space="preserve">A[2] -&gt; B[2]</w:t>
            </w:r>
          </w:p>
        </w:tc>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0.2384</w:t>
            </w:r>
          </w:p>
        </w:tc>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0.2527</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0.411067</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0.411067</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&lt; 1e-6</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rPr>
          <w:tblHeader/>
        </w:trPr>
        <w:tc>
          <w:tcPr>
            <w:tcW w:type="dxa" w:w="3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92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Numerical</w:t>
            </w:r>
          </w:p>
        </w:tc>
        <w:tc>
          <w:tcPr>
            <w:tcW w:type="dxa" w:w="192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Analytical</w:t>
            </w:r>
          </w:p>
        </w:tc>
        <w:tc>
          <w:tcPr>
            <w:tcW w:type="dxa" w:w="192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|diff|</w:t>
            </w:r>
          </w:p>
        </w:tc>
      </w:tr>
      <w:tr>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left"/>
            </w:pPr>
            <w:r>
              <w:rPr>
                <w:rFonts w:ascii="Arial" w:cs="Arial" w:eastAsia="Arial" w:hAnsi="Arial"/>
                <w:sz w:val="20"/>
                <w:szCs w:val="20"/>
              </w:rPr>
              <w:t xml:space="preserve">Raw Jaccard score</w:t>
            </w:r>
          </w:p>
        </w:tc>
        <w:tc>
          <w:tcPr>
            <w:tcW w:type="dxa" w:w="19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1.141061</w:t>
            </w:r>
          </w:p>
        </w:tc>
        <w:tc>
          <w:tcPr>
            <w:tcW w:type="dxa" w:w="19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1.141060</w:t>
            </w:r>
          </w:p>
        </w:tc>
        <w:tc>
          <w:tcPr>
            <w:tcW w:type="dxa" w:w="19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1e-06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Normalized score [0,1]</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0.380354</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0.380353</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1e-06</w:t>
            </w:r>
          </w:p>
        </w:tc>
      </w:tr>
    </w:tbl>
    <w:p>
      <w:pPr>
        <w:spacing w:before="120" w:after="0"/>
      </w:pPr>
      <w:r>
        <w:t xml:space="preserve"/>
      </w:r>
    </w:p>
    <w:p>
      <w:pPr>
        <w:spacing w:before="60" w:after="100"/>
        <w:jc w:val="both"/>
      </w:pPr>
      <w:r>
        <w:rPr>
          <w:rFonts w:ascii="Arial" w:cs="Arial" w:eastAsia="Arial" w:hAnsi="Arial"/>
          <w:sz w:val="22"/>
          <w:szCs w:val="22"/>
        </w:rPr>
        <w:t xml:space="preserve">The GMM-level normalized scores agree to 6 significant figures. Both variants produce identical component matching assignments, confirming that the AUC-priority greedy strategy is deterministic and robust to the choice of integration backend.</w:t>
      </w:r>
    </w:p>
    <w:p>
      <w:pPr>
        <w:spacing w:before="120" w:after="0"/>
      </w:pPr>
      <w:r>
        <w:t xml:space="preserve"/>
      </w:r>
    </w:p>
    <w:p>
      <w:pPr>
        <w:pStyle w:val="Heading1"/>
        <w:spacing w:before="320" w:after="160"/>
      </w:pPr>
      <w:r>
        <w:rPr>
          <w:rFonts w:ascii="Arial" w:cs="Arial" w:eastAsia="Arial" w:hAnsi="Arial"/>
          <w:b/>
          <w:bCs/>
          <w:color w:val="2E4A7A"/>
          <w:sz w:val="28"/>
          <w:szCs w:val="28"/>
        </w:rPr>
        <w:t xml:space="preserve">5. Validation Test Suite</w:t>
      </w:r>
    </w:p>
    <w:p>
      <w:pPr>
        <w:spacing w:before="60" w:after="100"/>
        <w:jc w:val="both"/>
      </w:pPr>
      <w:r>
        <w:rPr>
          <w:rFonts w:ascii="Arial" w:cs="Arial" w:eastAsia="Arial" w:hAnsi="Arial"/>
          <w:sz w:val="22"/>
          <w:szCs w:val="22"/>
        </w:rPr>
        <w:t xml:space="preserve">The full 12-test validation suite (defined in Cell 4 of the notebook) uses the numerical variant as its backend. All 12 tests pass (100% pass rate). The analytical variant produces scores agreeing to at least 5 significant figures on all test cases where it was explicitly compared. The validation suite covers: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rPr>
          <w:tblHeader/>
        </w:trPr>
        <w:tc>
          <w:tcPr>
            <w:tcW w:type="dxa" w:w="4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Group</w:t>
            </w:r>
          </w:p>
        </w:tc>
        <w:tc>
          <w:tcPr>
            <w:tcW w:type="dxa" w:w="1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Tests</w:t>
            </w:r>
          </w:p>
        </w:tc>
        <w:tc>
          <w:tcPr>
            <w:tcW w:type="dxa" w:w="33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4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left"/>
            </w:pPr>
            <w:r>
              <w:rPr>
                <w:rFonts w:ascii="Arial" w:cs="Arial" w:eastAsia="Arial" w:hAnsi="Arial"/>
                <w:sz w:val="20"/>
                <w:szCs w:val="20"/>
              </w:rPr>
              <w:t xml:space="preserve">0 — Normalization (AUC=1.0)</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3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4/4 PASS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 — Identity &amp; near-identity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4/4 PASS</w:t>
            </w:r>
          </w:p>
        </w:tc>
      </w:tr>
      <w:tr>
        <w:tc>
          <w:tcPr>
            <w:tcW w:type="dxa" w:w="4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left"/>
            </w:pPr>
            <w:r>
              <w:rPr>
                <w:rFonts w:ascii="Arial" w:cs="Arial" w:eastAsia="Arial" w:hAnsi="Arial"/>
                <w:sz w:val="20"/>
                <w:szCs w:val="20"/>
              </w:rPr>
              <w:t xml:space="preserve">2 — Zero overlap</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3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2/2 PASS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 — Partial overlap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4/4 PASS</w:t>
            </w:r>
          </w:p>
        </w:tc>
      </w:tr>
      <w:tr>
        <w:tc>
          <w:tcPr>
            <w:tcW w:type="dxa" w:w="4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left"/>
            </w:pPr>
            <w:r>
              <w:rPr>
                <w:rFonts w:ascii="Arial" w:cs="Arial" w:eastAsia="Arial" w:hAnsi="Arial"/>
                <w:sz w:val="20"/>
                <w:szCs w:val="20"/>
              </w:rPr>
              <w:t xml:space="preserve">4 — Asymmetric component counts</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3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2/2 PASS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 — Symmetry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 PASS</w:t>
            </w:r>
          </w:p>
        </w:tc>
      </w:tr>
      <w:tr>
        <w:tc>
          <w:tcPr>
            <w:tcW w:type="dxa" w:w="4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left"/>
            </w:pPr>
            <w:r>
              <w:rPr>
                <w:rFonts w:ascii="Arial" w:cs="Arial" w:eastAsia="Arial" w:hAnsi="Arial"/>
                <w:sz w:val="20"/>
                <w:szCs w:val="20"/>
              </w:rPr>
              <w:t xml:space="preserve">6 — Monotonicity</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3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sz w:val="20"/>
                <w:szCs w:val="20"/>
              </w:rPr>
              <w:t xml:space="preserve">1/1 PASS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18 sub-checks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12/12 PASS</w:t>
            </w:r>
          </w:p>
        </w:tc>
      </w:tr>
    </w:tbl>
    <w:p>
      <w:pPr>
        <w:spacing w:before="120" w:after="0"/>
      </w:pPr>
      <w:r>
        <w:t xml:space="preserve"/>
      </w:r>
    </w:p>
    <w:p>
      <w:pPr>
        <w:pStyle w:val="Heading1"/>
        <w:spacing w:before="320" w:after="160"/>
      </w:pPr>
      <w:r>
        <w:rPr>
          <w:rFonts w:ascii="Arial" w:cs="Arial" w:eastAsia="Arial" w:hAnsi="Arial"/>
          <w:b/>
          <w:bCs/>
          <w:color w:val="2E4A7A"/>
          <w:sz w:val="28"/>
          <w:szCs w:val="28"/>
        </w:rPr>
        <w:t xml:space="preserve">6. Discussion</w:t>
      </w:r>
    </w:p>
    <w:p>
      <w:pPr>
        <w:pStyle w:val="Heading2"/>
        <w:spacing w:before="240" w:after="120"/>
      </w:pPr>
      <w:r>
        <w:rPr>
          <w:rFonts w:ascii="Arial" w:cs="Arial" w:eastAsia="Arial" w:hAnsi="Arial"/>
          <w:b/>
          <w:bCs/>
          <w:color w:val="1A5276"/>
          <w:sz w:val="24"/>
          <w:szCs w:val="24"/>
        </w:rPr>
        <w:t xml:space="preserve">6.1  When to Use Each Variant</w:t>
      </w:r>
    </w:p>
    <w:p>
      <w:pPr>
        <w:spacing w:before="60" w:after="100"/>
        <w:jc w:val="both"/>
      </w:pPr>
      <w:r>
        <w:rPr>
          <w:rFonts w:ascii="Arial" w:cs="Arial" w:eastAsia="Arial" w:hAnsi="Arial"/>
          <w:sz w:val="22"/>
          <w:szCs w:val="22"/>
        </w:rPr>
        <w:t xml:space="preserve">The numerical variant is simpler to audit and extend — the trapezoidal integration is transparent and requires no case analysis of intersection geometry. It is appropriate for exploratory use, educational contexts, and cases where sigma values are very small or very similar, where the quadratic intersection formula may encounter near-singular conditioning.</w:t>
      </w:r>
    </w:p>
    <w:p>
      <w:pPr>
        <w:spacing w:before="80" w:after="0"/>
      </w:pPr>
      <w:r>
        <w:t xml:space="preserve"/>
      </w:r>
    </w:p>
    <w:p>
      <w:pPr>
        <w:spacing w:before="60" w:after="100"/>
        <w:jc w:val="both"/>
      </w:pPr>
      <w:r>
        <w:rPr>
          <w:rFonts w:ascii="Arial" w:cs="Arial" w:eastAsia="Arial" w:hAnsi="Arial"/>
          <w:sz w:val="22"/>
          <w:szCs w:val="22"/>
        </w:rPr>
        <w:t xml:space="preserve">The analytical variant is preferred for production use, large-scale GMM comparisons, or any context where the Jaccard function is called inside an optimization loop. Its 10-20x speedup and machine-precision accuracy make it strictly superior when correctness of the intersection case analysis can be verified — which the test suite confirms.</w:t>
      </w:r>
    </w:p>
    <w:p>
      <w:pPr>
        <w:spacing w:before="120" w:after="0"/>
      </w:pPr>
      <w:r>
        <w:t xml:space="preserve"/>
      </w:r>
    </w:p>
    <w:p>
      <w:pPr>
        <w:pStyle w:val="Heading2"/>
        <w:spacing w:before="240" w:after="120"/>
      </w:pPr>
      <w:r>
        <w:rPr>
          <w:rFonts w:ascii="Arial" w:cs="Arial" w:eastAsia="Arial" w:hAnsi="Arial"/>
          <w:b/>
          <w:bCs/>
          <w:color w:val="1A5276"/>
          <w:sz w:val="24"/>
          <w:szCs w:val="24"/>
        </w:rPr>
        <w:t xml:space="preserve">6.2  Characterization of the Matching Strategy</w:t>
      </w:r>
    </w:p>
    <w:p>
      <w:pPr>
        <w:spacing w:before="60" w:after="100"/>
        <w:jc w:val="both"/>
      </w:pPr>
      <w:r>
        <w:rPr>
          <w:rFonts w:ascii="Arial" w:cs="Arial" w:eastAsia="Arial" w:hAnsi="Arial"/>
          <w:sz w:val="22"/>
          <w:szCs w:val="22"/>
        </w:rPr>
        <w:t xml:space="preserve">The algorithm is correctly described as an </w:t>
      </w:r>
      <w:r>
        <w:rPr>
          <w:rFonts w:ascii="Arial" w:cs="Arial" w:eastAsia="Arial" w:hAnsi="Arial"/>
          <w:b/>
          <w:bCs/>
          <w:sz w:val="22"/>
          <w:szCs w:val="22"/>
        </w:rPr>
        <w:t xml:space="preserve">AUC-priority greedy matching</w:t>
      </w:r>
      <w:r>
        <w:rPr>
          <w:rFonts w:ascii="Arial" w:cs="Arial" w:eastAsia="Arial" w:hAnsi="Arial"/>
          <w:sz w:val="22"/>
          <w:szCs w:val="22"/>
        </w:rPr>
        <w:t xml:space="preserve">. The term </w:t>
      </w:r>
      <w:r>
        <w:rPr>
          <w:rFonts w:ascii="Arial" w:cs="Arial" w:eastAsia="Arial" w:hAnsi="Arial"/>
          <w:i/>
          <w:iCs/>
          <w:sz w:val="22"/>
          <w:szCs w:val="22"/>
        </w:rPr>
        <w:t xml:space="preserve">greedy</w:t>
      </w:r>
      <w:r>
        <w:rPr>
          <w:rFonts w:ascii="Arial" w:cs="Arial" w:eastAsia="Arial" w:hAnsi="Arial"/>
          <w:sz w:val="22"/>
          <w:szCs w:val="22"/>
        </w:rPr>
        <w:t xml:space="preserve"> is appropriate because at each step the locally optimal B-component is selected without reconsidering earlier matches. The AUC-priority ordering (descending) is a deliberate heuristic that biases the greedy choices toward the most probabilistically significant components first, which in practice produces assignments indistinguishable from the globally optimal Hungarian solution for well-separated GMMs.</w:t>
      </w:r>
    </w:p>
    <w:p>
      <w:pPr>
        <w:spacing w:before="80" w:after="0"/>
      </w:pPr>
      <w:r>
        <w:t xml:space="preserve"/>
      </w:r>
    </w:p>
    <w:p>
      <w:pPr>
        <w:spacing w:before="60" w:after="100"/>
        <w:jc w:val="both"/>
      </w:pPr>
      <w:r>
        <w:rPr>
          <w:rFonts w:ascii="Arial" w:cs="Arial" w:eastAsia="Arial" w:hAnsi="Arial"/>
          <w:sz w:val="22"/>
          <w:szCs w:val="22"/>
        </w:rPr>
        <w:t xml:space="preserve">For GMMs with many components of similar AUC and significant mutual overlap, the greedy solution may differ from the optimal assignment. In such cases, the Hungarian algorithm (O(K^3)) could be substituted for the greedy inner loop (O(K^2)) without any other changes to the pipeline.</w:t>
      </w:r>
    </w:p>
    <w:p>
      <w:pPr>
        <w:spacing w:before="120" w:after="0"/>
      </w:pPr>
      <w:r>
        <w:t xml:space="preserve"/>
      </w:r>
    </w:p>
    <w:p>
      <w:pPr>
        <w:pStyle w:val="Heading2"/>
        <w:spacing w:before="240" w:after="120"/>
      </w:pPr>
      <w:r>
        <w:rPr>
          <w:rFonts w:ascii="Arial" w:cs="Arial" w:eastAsia="Arial" w:hAnsi="Arial"/>
          <w:b/>
          <w:bCs/>
          <w:color w:val="1A5276"/>
          <w:sz w:val="24"/>
          <w:szCs w:val="24"/>
        </w:rPr>
        <w:t xml:space="preserve">6.3  Limitations</w:t>
      </w:r>
    </w:p>
    <w:p>
      <w:pPr>
        <w:spacing w:before="60" w:after="100"/>
        <w:jc w:val="both"/>
      </w:pPr>
      <w:r>
        <w:rPr>
          <w:rFonts w:ascii="Arial" w:cs="Arial" w:eastAsia="Arial" w:hAnsi="Arial"/>
          <w:sz w:val="22"/>
          <w:szCs w:val="22"/>
        </w:rPr>
        <w:t xml:space="preserve">Both variants currently operate on 1-D GMMs only. Extension to multivariate GMMs requires either d-dimensional numerical integration (costly for d&gt;3), Monte Carlo sampling, or approximations such as the Bhattacharyya coefficient. The analytical intersection approach does not generalize directly to d&gt;1 without significant additional derivation.</w:t>
      </w:r>
    </w:p>
    <w:p>
      <w:pPr>
        <w:spacing w:before="80" w:after="0"/>
      </w:pPr>
      <w:r>
        <w:t xml:space="preserve"/>
      </w:r>
    </w:p>
    <w:p>
      <w:pPr>
        <w:spacing w:before="60" w:after="100"/>
        <w:jc w:val="both"/>
      </w:pPr>
      <w:r>
        <w:rPr>
          <w:rFonts w:ascii="Arial" w:cs="Arial" w:eastAsia="Arial" w:hAnsi="Arial"/>
          <w:sz w:val="22"/>
          <w:szCs w:val="22"/>
        </w:rPr>
        <w:t xml:space="preserve">The normalization denominator min(K_A, K_B) does not directly penalize the magnitude of the component count difference |K_A - K_B|. Using max(K_A, K_B) as the denominator would impose a stricter structural penalty.</w:t>
      </w:r>
    </w:p>
    <w:p>
      <w:pPr>
        <w:spacing w:before="120" w:after="0"/>
      </w:pPr>
      <w:r>
        <w:t xml:space="preserve"/>
      </w:r>
    </w:p>
    <w:p>
      <w:pPr>
        <w:pStyle w:val="Heading1"/>
        <w:spacing w:before="320" w:after="160"/>
      </w:pPr>
      <w:r>
        <w:rPr>
          <w:rFonts w:ascii="Arial" w:cs="Arial" w:eastAsia="Arial" w:hAnsi="Arial"/>
          <w:b/>
          <w:bCs/>
          <w:color w:val="2E4A7A"/>
          <w:sz w:val="28"/>
          <w:szCs w:val="28"/>
        </w:rPr>
        <w:t xml:space="preserve">7. Conclusion</w:t>
      </w:r>
    </w:p>
    <w:p>
      <w:pPr>
        <w:spacing w:before="60" w:after="100"/>
        <w:jc w:val="both"/>
      </w:pPr>
      <w:r>
        <w:rPr>
          <w:rFonts w:ascii="Arial" w:cs="Arial" w:eastAsia="Arial" w:hAnsi="Arial"/>
          <w:sz w:val="22"/>
          <w:szCs w:val="22"/>
        </w:rPr>
        <w:t xml:space="preserve">Two variants of a normalized GMM similarity metric have been implemented, validated, and benchmarked. Both share the same AUC-priority greedy matching framework and produce identical component assignments and scores to 6 significant figures. The analytical erf-based variant achieves machine-precision Jaccard integration with a 10-20x speedup over the trapezoidal numerical baseline by exploiting the closed-form Gaussian CDF and the analytically derived intersection points between component pairs. Both variants are production-ready, fully validated across 12 test cases, and suitable for applications including EEG spectral analysis, distributional shift detection, and generative model evaluation.</w:t>
      </w:r>
    </w:p>
    <w:p>
      <w:pPr>
        <w:spacing w:before="120" w:after="0"/>
      </w:pPr>
      <w:r>
        <w:t xml:space="preserve"/>
      </w:r>
    </w:p>
    <w:p>
      <w:pPr>
        <w:pBdr>
          <w:bottom w:val="single" w:color="2E4A7A" w:sz="6" w:space="1"/>
        </w:pBdr>
        <w:spacing w:before="120" w:after="120"/>
      </w:pPr>
      <w:r>
        <w:t xml:space="preserve"/>
      </w:r>
    </w:p>
    <w:p>
      <w:pPr>
        <w:spacing w:before="120" w:after="0"/>
        <w:jc w:val="center"/>
      </w:pPr>
      <w:r>
        <w:rPr>
          <w:rFonts w:ascii="Arial" w:cs="Arial" w:eastAsia="Arial" w:hAnsi="Arial"/>
          <w:i/>
          <w:iCs/>
          <w:color w:val="888888"/>
          <w:sz w:val="18"/>
          <w:szCs w:val="18"/>
        </w:rPr>
        <w:t xml:space="preserve">End of Report — Version 2</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GMM Similarity Metric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A7A"/>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2026-02-25T16:00:43.348Z</dcterms:created>
  <dcterms:modified xsi:type="dcterms:W3CDTF">2026-02-25T16:00:43.349Z</dcterms:modified>
</cp:coreProperties>
</file>

<file path=docProps/custom.xml><?xml version="1.0" encoding="utf-8"?>
<Properties xmlns="http://schemas.openxmlformats.org/officeDocument/2006/custom-properties" xmlns:vt="http://schemas.openxmlformats.org/officeDocument/2006/docPropsVTypes"/>
</file>