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0"/>
      </w:pPr>
      <w:r>
        <w:t xml:space="preserve"/>
      </w:r>
    </w:p>
    <w:p>
      <w:pPr>
        <w:spacing w:before="0" w:after="200"/>
        <w:jc w:val="center"/>
      </w:pPr>
      <w:r>
        <w:rPr>
          <w:rFonts w:ascii="Arial" w:cs="Arial" w:eastAsia="Arial" w:hAnsi="Arial"/>
          <w:b/>
          <w:bCs/>
          <w:color w:val="2E4A7A"/>
          <w:sz w:val="40"/>
          <w:szCs w:val="40"/>
        </w:rPr>
        <w:t xml:space="preserve">A Greedy Jaccard-Based Similarity Metric</w:t>
      </w:r>
    </w:p>
    <w:p>
      <w:pPr>
        <w:spacing w:before="0" w:after="120"/>
        <w:jc w:val="center"/>
      </w:pPr>
      <w:r>
        <w:rPr>
          <w:rFonts w:ascii="Arial" w:cs="Arial" w:eastAsia="Arial" w:hAnsi="Arial"/>
          <w:b/>
          <w:bCs/>
          <w:color w:val="1A5276"/>
          <w:sz w:val="36"/>
          <w:szCs w:val="36"/>
        </w:rPr>
        <w:t xml:space="preserve">for Gaussian Mixture Model Comparison</w:t>
      </w:r>
    </w:p>
    <w:p>
      <w:pPr>
        <w:spacing w:before="200" w:after="0"/>
      </w:pPr>
      <w:r>
        <w:t xml:space="preserve"/>
      </w:r>
    </w:p>
    <w:p>
      <w:pPr>
        <w:spacing w:before="0" w:after="80"/>
        <w:jc w:val="center"/>
      </w:pPr>
      <w:r>
        <w:rPr>
          <w:rFonts w:ascii="Arial" w:cs="Arial" w:eastAsia="Arial" w:hAnsi="Arial"/>
          <w:i/>
          <w:iCs/>
          <w:color w:val="555555"/>
          <w:sz w:val="24"/>
          <w:szCs w:val="24"/>
        </w:rPr>
        <w:t xml:space="preserve">Technical Report</w:t>
      </w:r>
    </w:p>
    <w:p>
      <w:pPr>
        <w:spacing w:before="0" w:after="80"/>
        <w:jc w:val="center"/>
      </w:pPr>
      <w:r>
        <w:rPr>
          <w:rFonts w:ascii="Arial" w:cs="Arial" w:eastAsia="Arial" w:hAnsi="Arial"/>
          <w:color w:val="555555"/>
          <w:sz w:val="22"/>
          <w:szCs w:val="22"/>
        </w:rPr>
        <w:t xml:space="preserve">February 2026</w:t>
      </w:r>
    </w:p>
    <w:p>
      <w:pPr>
        <w:pBdr>
          <w:bottom w:val="single" w:color="2E4A7A" w:sz="6" w:space="1"/>
        </w:pBdr>
        <w:spacing w:before="120" w:after="120"/>
      </w:pPr>
      <w:r>
        <w:t xml:space="preserve"/>
      </w:r>
    </w:p>
    <w:p>
      <w:pPr>
        <w:spacing w:before="1000" w:after="0"/>
      </w:pPr>
      <w:r>
        <w:t xml:space="preserve"/>
      </w:r>
    </w:p>
    <w:p>
      <w:r>
        <w:br w:type="page"/>
      </w:r>
    </w:p>
    <w:p>
      <w:pPr>
        <w:pStyle w:val="Heading1"/>
        <w:spacing w:before="320" w:after="160"/>
      </w:pPr>
      <w:r>
        <w:rPr>
          <w:rFonts w:ascii="Arial" w:cs="Arial" w:eastAsia="Arial" w:hAnsi="Arial"/>
          <w:b/>
          <w:bCs/>
          <w:color w:val="2E4A7A"/>
          <w:sz w:val="28"/>
          <w:szCs w:val="28"/>
        </w:rPr>
        <w:t xml:space="preserve">Abstract</w:t>
      </w:r>
    </w:p>
    <w:p>
      <w:pPr>
        <w:spacing w:before="60" w:after="100"/>
        <w:jc w:val="both"/>
      </w:pPr>
      <w:r>
        <w:rPr>
          <w:rFonts w:ascii="Arial" w:cs="Arial" w:eastAsia="Arial" w:hAnsi="Arial"/>
          <w:sz w:val="22"/>
          <w:szCs w:val="22"/>
        </w:rPr>
        <w:t xml:space="preserve">We present a normalized similarity metric for comparing two Gaussian Mixture Models (GMMs) based on pairwise component-level Jaccard overlap of probability density functions. The algorithm proceeds by (1) sorting each GMM's components by their area under the curve (AUC), (2) greedily matching the highest-AUC component of one GMM to its best Jaccard partner in the other, (3) iterating until no components remain in either model, and (4) normalizing the cumulative Jaccard score by the maximum possible score (i.e., the number of matched pairs). The metric is validated against six test groups covering identity, null overlap, partial overlap, asymmetric component counts, symmetry, and monotonicity. All 12 programmatic tests pass with a 100% pass rate, confirming that the metric produces scores in </w:t>
      </w:r>
      <w:r>
        <w:rPr>
          <w:rFonts w:ascii="Arial" w:cs="Arial" w:eastAsia="Arial" w:hAnsi="Arial"/>
          <w:b/>
          <w:bCs/>
          <w:sz w:val="22"/>
          <w:szCs w:val="22"/>
        </w:rPr>
        <w:t xml:space="preserve">[0, 1]</w:t>
      </w:r>
      <w:r>
        <w:rPr>
          <w:rFonts w:ascii="Arial" w:cs="Arial" w:eastAsia="Arial" w:hAnsi="Arial"/>
          <w:sz w:val="22"/>
          <w:szCs w:val="22"/>
        </w:rPr>
        <w:t xml:space="preserve"> where 1 indicates identical distributions and 0 indicates fully disjoint distributions. Normalization is anchored on the </w:t>
      </w:r>
    </w:p>
    <w:p>
      <w:pPr>
        <w:spacing w:before="60" w:after="100"/>
        <w:jc w:val="both"/>
      </w:pPr>
      <w:r>
        <w:rPr>
          <w:rFonts w:ascii="Arial" w:cs="Arial" w:eastAsia="Arial" w:hAnsi="Arial"/>
          <w:sz w:val="22"/>
          <w:szCs w:val="22"/>
        </w:rPr>
        <w:t xml:space="preserve">condition that the total AUC of each GMM sums to exactly 1.0 over the real line, treating each GMM as a proper probability density. The proposed approach is computationally efficient, interpretable, and applicable to any 1-D GMM regardless of component count.</w:t>
      </w:r>
    </w:p>
    <w:p>
      <w:pPr>
        <w:spacing w:before="120" w:after="0"/>
      </w:pPr>
      <w:r>
        <w:t xml:space="preserve"/>
      </w:r>
    </w:p>
    <w:p>
      <w:pPr>
        <w:pStyle w:val="Heading1"/>
        <w:spacing w:before="320" w:after="160"/>
      </w:pPr>
      <w:r>
        <w:rPr>
          <w:rFonts w:ascii="Arial" w:cs="Arial" w:eastAsia="Arial" w:hAnsi="Arial"/>
          <w:b/>
          <w:bCs/>
          <w:color w:val="2E4A7A"/>
          <w:sz w:val="28"/>
          <w:szCs w:val="28"/>
        </w:rPr>
        <w:t xml:space="preserve">1. Introduction</w:t>
      </w:r>
    </w:p>
    <w:p>
      <w:pPr>
        <w:spacing w:before="60" w:after="100"/>
        <w:jc w:val="both"/>
      </w:pPr>
      <w:r>
        <w:rPr>
          <w:rFonts w:ascii="Arial" w:cs="Arial" w:eastAsia="Arial" w:hAnsi="Arial"/>
          <w:sz w:val="22"/>
          <w:szCs w:val="22"/>
        </w:rPr>
        <w:t xml:space="preserve">Gaussian Mixture Models are a canonical tool for density estimation and unsupervised clustering in signal processing, neuroscience, and machine learning. A recurring practical requirement is the quantitative comparison of two GMMs: for instance, assessing whether an EEG spectral density profile has shifted between two experimental conditions, or whether two population subgroups share a similar biomarker distribution.</w:t>
      </w:r>
    </w:p>
    <w:p>
      <w:pPr>
        <w:spacing w:before="80" w:after="0"/>
      </w:pPr>
      <w:r>
        <w:t xml:space="preserve"/>
      </w:r>
    </w:p>
    <w:p>
      <w:pPr>
        <w:spacing w:before="60" w:after="100"/>
        <w:jc w:val="both"/>
      </w:pPr>
      <w:r>
        <w:rPr>
          <w:rFonts w:ascii="Arial" w:cs="Arial" w:eastAsia="Arial" w:hAnsi="Arial"/>
          <w:sz w:val="22"/>
          <w:szCs w:val="22"/>
        </w:rPr>
        <w:t xml:space="preserve">Existing divergence measures such as the Kullback-Leibler (KL) divergence or the Bhattacharyya distance operate on the full mixture density and are asymmetric (KL) or do not decompose naturally across components. The Earth Mover's Distance (Wasserstein metric) is symmetric and geometrically meaningful but is computationally expensive and does not directly expose the contribution of individual components.</w:t>
      </w:r>
    </w:p>
    <w:p>
      <w:pPr>
        <w:spacing w:before="80" w:after="0"/>
      </w:pPr>
      <w:r>
        <w:t xml:space="preserve"/>
      </w:r>
    </w:p>
    <w:p>
      <w:pPr>
        <w:spacing w:before="60" w:after="100"/>
        <w:jc w:val="both"/>
      </w:pPr>
      <w:r>
        <w:rPr>
          <w:rFonts w:ascii="Arial" w:cs="Arial" w:eastAsia="Arial" w:hAnsi="Arial"/>
          <w:sz w:val="22"/>
          <w:szCs w:val="22"/>
        </w:rPr>
        <w:t xml:space="preserve">The present work proposes a component-wise approach that leverages the Jaccard index on probability densities. By operating at the component level rather than on the aggregate mixture, the metric is interpretable: each matched pair contributes an additive, bounded score reflecting the geometric overlap of two Gaussians. The greedy AUC-sorted matching strategy ensures that the most statistically significant components drive the score.</w:t>
      </w:r>
    </w:p>
    <w:p>
      <w:pPr>
        <w:spacing w:before="120" w:after="0"/>
      </w:pPr>
      <w:r>
        <w:t xml:space="preserve"/>
      </w:r>
    </w:p>
    <w:p>
      <w:pPr>
        <w:pStyle w:val="Heading1"/>
        <w:spacing w:before="320" w:after="160"/>
      </w:pPr>
      <w:r>
        <w:rPr>
          <w:rFonts w:ascii="Arial" w:cs="Arial" w:eastAsia="Arial" w:hAnsi="Arial"/>
          <w:b/>
          <w:bCs/>
          <w:color w:val="2E4A7A"/>
          <w:sz w:val="28"/>
          <w:szCs w:val="28"/>
        </w:rPr>
        <w:t xml:space="preserve">2. Methodology</w:t>
      </w:r>
    </w:p>
    <w:p>
      <w:pPr>
        <w:pStyle w:val="Heading2"/>
        <w:spacing w:before="240" w:after="120"/>
      </w:pPr>
      <w:r>
        <w:rPr>
          <w:rFonts w:ascii="Arial" w:cs="Arial" w:eastAsia="Arial" w:hAnsi="Arial"/>
          <w:b/>
          <w:bCs/>
          <w:color w:val="1A5276"/>
          <w:sz w:val="24"/>
          <w:szCs w:val="24"/>
        </w:rPr>
        <w:t xml:space="preserve">2.1  Preliminary: AUC of a Weighted Gaussian Component</w:t>
      </w:r>
    </w:p>
    <w:p>
      <w:pPr>
        <w:spacing w:before="60" w:after="100"/>
        <w:jc w:val="both"/>
      </w:pPr>
      <w:r>
        <w:rPr>
          <w:rFonts w:ascii="Arial" w:cs="Arial" w:eastAsia="Arial" w:hAnsi="Arial"/>
          <w:sz w:val="22"/>
          <w:szCs w:val="22"/>
        </w:rPr>
        <w:t xml:space="preserve">Each GMM component i is characterized by a triplet (mu_i, sigma_i, w_i) where mu_i is the mean, sigma_i the standard deviation, and w_i the mixture weight with sum(w_i) = 1. The probability density contribution of component i is:</w:t>
      </w:r>
    </w:p>
    <w:p>
      <w:pPr>
        <w:spacing w:before="60" w:after="0"/>
      </w:pPr>
      <w:r>
        <w:t xml:space="preserve"/>
      </w:r>
    </w:p>
    <w:p>
      <w:pPr>
        <w:spacing w:before="60" w:after="100"/>
        <w:jc w:val="left"/>
      </w:pPr>
      <w:r>
        <w:rPr>
          <w:rFonts w:ascii="Courier New" w:cs="Courier New" w:eastAsia="Courier New" w:hAnsi="Courier New"/>
          <w:sz w:val="20"/>
          <w:szCs w:val="20"/>
        </w:rPr>
        <w:t xml:space="preserve">    f_i(x) = w_i * N(x; mu_i, sigma_i)</w:t>
      </w:r>
    </w:p>
    <w:p>
      <w:pPr>
        <w:spacing w:before="60" w:after="0"/>
      </w:pPr>
      <w:r>
        <w:t xml:space="preserve"/>
      </w:r>
    </w:p>
    <w:p>
      <w:pPr>
        <w:spacing w:before="60" w:after="100"/>
        <w:jc w:val="both"/>
      </w:pPr>
      <w:r>
        <w:rPr>
          <w:rFonts w:ascii="Arial" w:cs="Arial" w:eastAsia="Arial" w:hAnsi="Arial"/>
          <w:sz w:val="22"/>
          <w:szCs w:val="22"/>
        </w:rPr>
        <w:t xml:space="preserve">The AUC of component i over a finite grid [x_min, x_max] is computed numerically via the trapezoidal rule:</w:t>
      </w:r>
    </w:p>
    <w:p>
      <w:pPr>
        <w:spacing w:before="60" w:after="0"/>
      </w:pPr>
      <w:r>
        <w:t xml:space="preserve"/>
      </w:r>
    </w:p>
    <w:p>
      <w:pPr>
        <w:spacing w:before="60" w:after="100"/>
        <w:jc w:val="left"/>
      </w:pPr>
      <w:r>
        <w:rPr>
          <w:rFonts w:ascii="Courier New" w:cs="Courier New" w:eastAsia="Courier New" w:hAnsi="Courier New"/>
          <w:sz w:val="20"/>
          <w:szCs w:val="20"/>
        </w:rPr>
        <w:t xml:space="preserve">    AUC_i = integral(f_i(x) dx) over [x_min, x_max]</w:t>
      </w:r>
    </w:p>
    <w:p>
      <w:pPr>
        <w:spacing w:before="60" w:after="0"/>
      </w:pPr>
      <w:r>
        <w:t xml:space="preserve"/>
      </w:r>
    </w:p>
    <w:p>
      <w:pPr>
        <w:spacing w:before="60" w:after="100"/>
        <w:jc w:val="both"/>
      </w:pPr>
      <w:r>
        <w:rPr>
          <w:rFonts w:ascii="Arial" w:cs="Arial" w:eastAsia="Arial" w:hAnsi="Arial"/>
          <w:sz w:val="22"/>
          <w:szCs w:val="22"/>
        </w:rPr>
        <w:t xml:space="preserve">Over the full real line, AUC_i = w_i by construction. To ensure comparability across GMMs, weights are renormalized such that sum(AUC_i) = 1.0, correcting for finite-range truncation artifacts.</w:t>
      </w:r>
    </w:p>
    <w:p>
      <w:pPr>
        <w:spacing w:before="120" w:after="0"/>
      </w:pPr>
      <w:r>
        <w:t xml:space="preserve"/>
      </w:r>
    </w:p>
    <w:p>
      <w:pPr>
        <w:pStyle w:val="Heading2"/>
        <w:spacing w:before="240" w:after="120"/>
      </w:pPr>
      <w:r>
        <w:rPr>
          <w:rFonts w:ascii="Arial" w:cs="Arial" w:eastAsia="Arial" w:hAnsi="Arial"/>
          <w:b/>
          <w:bCs/>
          <w:color w:val="1A5276"/>
          <w:sz w:val="24"/>
          <w:szCs w:val="24"/>
        </w:rPr>
        <w:t xml:space="preserve">2.2  Jaccard Similarity Between Two Gaussian Components</w:t>
      </w:r>
    </w:p>
    <w:p>
      <w:pPr>
        <w:spacing w:before="60" w:after="100"/>
        <w:jc w:val="both"/>
      </w:pPr>
      <w:r>
        <w:rPr>
          <w:rFonts w:ascii="Arial" w:cs="Arial" w:eastAsia="Arial" w:hAnsi="Arial"/>
          <w:sz w:val="22"/>
          <w:szCs w:val="22"/>
        </w:rPr>
        <w:t xml:space="preserve">Given two weighted Gaussians f_1 and f_2, the Jaccard similarity is defined as the ratio of the area of their pointwise minimum (intersection) to the area of their pointwise maximum (union):</w:t>
      </w:r>
    </w:p>
    <w:p>
      <w:pPr>
        <w:spacing w:before="60" w:after="0"/>
      </w:pPr>
      <w:r>
        <w:t xml:space="preserve"/>
      </w:r>
    </w:p>
    <w:p>
      <w:pPr>
        <w:spacing w:before="60" w:after="100"/>
        <w:jc w:val="left"/>
      </w:pPr>
      <w:r>
        <w:rPr>
          <w:rFonts w:ascii="Courier New" w:cs="Courier New" w:eastAsia="Courier New" w:hAnsi="Courier New"/>
          <w:sz w:val="20"/>
          <w:szCs w:val="20"/>
        </w:rPr>
        <w:t xml:space="preserve">    J(f1, f2) = integral(min(f1, f2) dx) / integral(max(f1, f2) dx)</w:t>
      </w:r>
    </w:p>
    <w:p>
      <w:pPr>
        <w:spacing w:before="60" w:after="0"/>
      </w:pPr>
      <w:r>
        <w:t xml:space="preserve"/>
      </w:r>
    </w:p>
    <w:p>
      <w:pPr>
        <w:spacing w:before="60" w:after="100"/>
        <w:jc w:val="both"/>
      </w:pPr>
      <w:r>
        <w:rPr>
          <w:rFonts w:ascii="Arial" w:cs="Arial" w:eastAsia="Arial" w:hAnsi="Arial"/>
          <w:sz w:val="22"/>
          <w:szCs w:val="22"/>
        </w:rPr>
        <w:t xml:space="preserve">This definition is the continuous analogue of the set-theoretic Jaccard index |A intersect B| / |A union B|. The metric is bounded J in [0, 1], symmetric J(f1, f2) = J(f2, f1), and achieves J = 1 if and only if f1 = f2 almost everywhere. Both integrals are evaluated over a domain covering +-5 standard deviations of each component, ensuring negligible truncation error (&lt; 3e-7 of total mass).</w:t>
      </w:r>
    </w:p>
    <w:p>
      <w:pPr>
        <w:spacing w:before="120" w:after="0"/>
      </w:pPr>
      <w:r>
        <w:t xml:space="preserve"/>
      </w:r>
    </w:p>
    <w:p>
      <w:pPr>
        <w:pStyle w:val="Heading2"/>
        <w:spacing w:before="240" w:after="120"/>
      </w:pPr>
      <w:r>
        <w:rPr>
          <w:rFonts w:ascii="Arial" w:cs="Arial" w:eastAsia="Arial" w:hAnsi="Arial"/>
          <w:b/>
          <w:bCs/>
          <w:color w:val="1A5276"/>
          <w:sz w:val="24"/>
          <w:szCs w:val="24"/>
        </w:rPr>
        <w:t xml:space="preserve">2.3  Greedy AUC-Sorted Matching Algorithm</w:t>
      </w:r>
    </w:p>
    <w:p>
      <w:pPr>
        <w:spacing w:before="60" w:after="100"/>
        <w:jc w:val="both"/>
      </w:pPr>
      <w:r>
        <w:rPr>
          <w:rFonts w:ascii="Arial" w:cs="Arial" w:eastAsia="Arial" w:hAnsi="Arial"/>
          <w:sz w:val="22"/>
          <w:szCs w:val="22"/>
        </w:rPr>
        <w:t xml:space="preserve">Given GMM_A with K_A components and GMM_B with K_B components, the matching proceeds as follows:</w:t>
      </w:r>
    </w:p>
    <w:p>
      <w:pPr>
        <w:spacing w:before="80" w:after="0"/>
      </w:pPr>
      <w:r>
        <w:t xml:space="preserve"/>
      </w:r>
    </w:p>
    <w:p>
      <w:pPr>
        <w:pStyle w:val="ListParagraph"/>
        <w:numPr>
          <w:ilvl w:val="0"/>
          <w:numId w:val="2"/>
        </w:numPr>
        <w:spacing w:before="60" w:after="60"/>
      </w:pPr>
      <w:r>
        <w:rPr>
          <w:rFonts w:ascii="Arial" w:cs="Arial" w:eastAsia="Arial" w:hAnsi="Arial"/>
          <w:sz w:val="22"/>
          <w:szCs w:val="22"/>
        </w:rPr>
        <w:t xml:space="preserve">Sort components of GMM_A in descending order of AUC: A[0], A[1], ..., A[K_A-1].</w:t>
      </w:r>
    </w:p>
    <w:p>
      <w:pPr>
        <w:pStyle w:val="ListParagraph"/>
        <w:numPr>
          <w:ilvl w:val="0"/>
          <w:numId w:val="2"/>
        </w:numPr>
        <w:spacing w:before="60" w:after="60"/>
      </w:pPr>
      <w:r>
        <w:rPr>
          <w:rFonts w:ascii="Arial" w:cs="Arial" w:eastAsia="Arial" w:hAnsi="Arial"/>
          <w:sz w:val="22"/>
          <w:szCs w:val="22"/>
        </w:rPr>
        <w:t xml:space="preserve">Sort components of GMM_B in descending order of AUC: B[0], B[1], ..., B[K_B-1].</w:t>
      </w:r>
    </w:p>
    <w:p>
      <w:pPr>
        <w:pStyle w:val="ListParagraph"/>
        <w:numPr>
          <w:ilvl w:val="0"/>
          <w:numId w:val="2"/>
        </w:numPr>
        <w:spacing w:before="60" w:after="60"/>
      </w:pPr>
      <w:r>
        <w:rPr>
          <w:rFonts w:ascii="Arial" w:cs="Arial" w:eastAsia="Arial" w:hAnsi="Arial"/>
          <w:sz w:val="22"/>
          <w:szCs w:val="22"/>
        </w:rPr>
        <w:t xml:space="preserve">For i = 0 to min(K_A, K_B)-1: find B[j*] in the remaining unmatched B components that maximizes J(A[i], B[j]). Record the pair (A[i], B[j*]) and remove B[j*] from the candidate set.</w:t>
      </w:r>
    </w:p>
    <w:p>
      <w:pPr>
        <w:pStyle w:val="ListParagraph"/>
        <w:numPr>
          <w:ilvl w:val="0"/>
          <w:numId w:val="2"/>
        </w:numPr>
        <w:spacing w:before="60" w:after="60"/>
      </w:pPr>
      <w:r>
        <w:rPr>
          <w:rFonts w:ascii="Arial" w:cs="Arial" w:eastAsia="Arial" w:hAnsi="Arial"/>
          <w:sz w:val="22"/>
          <w:szCs w:val="22"/>
        </w:rPr>
        <w:t xml:space="preserve">Compute the raw score S = sum(J(A[i], B[j*_i])) over all matched pairs.</w:t>
      </w:r>
    </w:p>
    <w:p>
      <w:pPr>
        <w:pStyle w:val="ListParagraph"/>
        <w:numPr>
          <w:ilvl w:val="0"/>
          <w:numId w:val="2"/>
        </w:numPr>
        <w:spacing w:before="60" w:after="60"/>
      </w:pPr>
      <w:r>
        <w:rPr>
          <w:rFonts w:ascii="Arial" w:cs="Arial" w:eastAsia="Arial" w:hAnsi="Arial"/>
          <w:sz w:val="22"/>
          <w:szCs w:val="22"/>
        </w:rPr>
        <w:t xml:space="preserve">Normalize: S_norm = S / min(K_A, K_B), yielding S_norm in [0, 1].</w:t>
      </w:r>
    </w:p>
    <w:p>
      <w:pPr>
        <w:spacing w:before="80" w:after="0"/>
      </w:pPr>
      <w:r>
        <w:t xml:space="preserve"/>
      </w:r>
    </w:p>
    <w:p>
      <w:pPr>
        <w:spacing w:before="60" w:after="100"/>
        <w:jc w:val="both"/>
      </w:pPr>
      <w:r>
        <w:rPr>
          <w:rFonts w:ascii="Arial" w:cs="Arial" w:eastAsia="Arial" w:hAnsi="Arial"/>
          <w:sz w:val="22"/>
          <w:szCs w:val="22"/>
        </w:rPr>
        <w:t xml:space="preserve">The AUC-sorted order guarantees that the most probable components are matched first, preventing a low-weight peripheral component from capturing a high-weight counterpart. The algorithm runs in O(K_A * K_B) Jaccard evaluations, each requiring O(N) numerical integration over N grid points.</w:t>
      </w:r>
    </w:p>
    <w:p>
      <w:pPr>
        <w:spacing w:before="120" w:after="0"/>
      </w:pPr>
      <w:r>
        <w:t xml:space="preserve"/>
      </w:r>
    </w:p>
    <w:p>
      <w:pPr>
        <w:pStyle w:val="Heading2"/>
        <w:spacing w:before="240" w:after="120"/>
      </w:pPr>
      <w:r>
        <w:rPr>
          <w:rFonts w:ascii="Arial" w:cs="Arial" w:eastAsia="Arial" w:hAnsi="Arial"/>
          <w:b/>
          <w:bCs/>
          <w:color w:val="1A5276"/>
          <w:sz w:val="24"/>
          <w:szCs w:val="24"/>
        </w:rPr>
        <w:t xml:space="preserve">2.4  Normalization and Probabilistic Grounding</w:t>
      </w:r>
    </w:p>
    <w:p>
      <w:pPr>
        <w:spacing w:before="60" w:after="100"/>
        <w:jc w:val="both"/>
      </w:pPr>
      <w:r>
        <w:rPr>
          <w:rFonts w:ascii="Arial" w:cs="Arial" w:eastAsia="Arial" w:hAnsi="Arial"/>
          <w:sz w:val="22"/>
          <w:szCs w:val="22"/>
        </w:rPr>
        <w:t xml:space="preserve">The normalization S_norm = S / min(K_A, K_B) maps the score to [0, 1] with a clear semantic: a score of 1.0 means every matched component pair is identical; a score of 0.0 means every matched pair has zero overlap. When K_A != K_B, unmatched components in the larger GMM contribute zero to the score, naturally penalizing structural differences in the number of modes.</w:t>
      </w:r>
    </w:p>
    <w:p>
      <w:pPr>
        <w:spacing w:before="80" w:after="0"/>
      </w:pPr>
      <w:r>
        <w:t xml:space="preserve"/>
      </w:r>
    </w:p>
    <w:p>
      <w:pPr>
        <w:spacing w:before="60" w:after="100"/>
        <w:jc w:val="both"/>
      </w:pPr>
      <w:r>
        <w:rPr>
          <w:rFonts w:ascii="Arial" w:cs="Arial" w:eastAsia="Arial" w:hAnsi="Arial"/>
          <w:sz w:val="22"/>
          <w:szCs w:val="22"/>
        </w:rPr>
        <w:t xml:space="preserve">The probabilistic grounding requires that each GMM be a proper probability density: sum(w_i) = 1. The AUC normalization step in extract_components() enforces this condition numerically, correcting for the finite integration domain [x_min, x_max] = [-20, 20], which captures &gt; 99.9999% of the probability mass for all components with |mu| &lt; 14 and sigma &lt; 4.</w:t>
      </w:r>
    </w:p>
    <w:p>
      <w:pPr>
        <w:spacing w:before="120" w:after="0"/>
      </w:pPr>
      <w:r>
        <w:t xml:space="preserve"/>
      </w:r>
    </w:p>
    <w:p>
      <w:pPr>
        <w:pStyle w:val="Heading1"/>
        <w:spacing w:before="320" w:after="160"/>
      </w:pPr>
      <w:r>
        <w:rPr>
          <w:rFonts w:ascii="Arial" w:cs="Arial" w:eastAsia="Arial" w:hAnsi="Arial"/>
          <w:b/>
          <w:bCs/>
          <w:color w:val="2E4A7A"/>
          <w:sz w:val="28"/>
          <w:szCs w:val="28"/>
        </w:rPr>
        <w:t xml:space="preserve">3. Implementation</w:t>
      </w:r>
    </w:p>
    <w:p>
      <w:pPr>
        <w:spacing w:before="60" w:after="100"/>
        <w:jc w:val="both"/>
      </w:pPr>
      <w:r>
        <w:rPr>
          <w:rFonts w:ascii="Arial" w:cs="Arial" w:eastAsia="Arial" w:hAnsi="Arial"/>
          <w:sz w:val="22"/>
          <w:szCs w:val="22"/>
        </w:rPr>
        <w:t xml:space="preserve">The implementation is in Python 3.11 using NumPy, SciPy, and scikit-learn. The key functions are:</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560"/>
      </w:tblGrid>
      <w:tr>
        <w:trPr>
          <w:tblHeader/>
        </w:trPr>
        <w:tc>
          <w:tcPr>
            <w:tcW w:type="dxa" w:w="36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Function</w:t>
            </w:r>
          </w:p>
        </w:tc>
        <w:tc>
          <w:tcPr>
            <w:tcW w:type="dxa" w:w="32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c>
          <w:tcPr>
            <w:tcW w:type="dxa" w:w="25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Complexity</w:t>
            </w:r>
          </w:p>
        </w:tc>
      </w:tr>
      <w:tr>
        <w:tc>
          <w:tcPr>
            <w:tcW w:type="dxa" w:w="36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gaussian_auc(mu, std, w, x)</w:t>
            </w:r>
          </w:p>
        </w:tc>
        <w:tc>
          <w:tcPr>
            <w:tcW w:type="dxa" w:w="32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Trapezoidal AUC of weighted Gaussian</w:t>
            </w:r>
          </w:p>
        </w:tc>
        <w:tc>
          <w:tcPr>
            <w:tcW w:type="dxa" w:w="256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jaccard(mu1,s1,w1,mu2,s2,w2)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Jaccard index between two Gaussians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O(N)</w:t>
            </w:r>
          </w:p>
        </w:tc>
      </w:tr>
      <w:tr>
        <w:tc>
          <w:tcPr>
            <w:tcW w:type="dxa" w:w="36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extract_components(gmm)</w:t>
            </w:r>
          </w:p>
        </w:tc>
        <w:tc>
          <w:tcPr>
            <w:tcW w:type="dxa" w:w="32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Extract &amp; normalize GMM components</w:t>
            </w:r>
          </w:p>
        </w:tc>
        <w:tc>
          <w:tcPr>
            <w:tcW w:type="dxa" w:w="256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O(K*N)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gmm_similarity(gmm_a, gmm_b)</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Full greedy matching + normalization</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O(K_A*K_B*N)</w:t>
            </w:r>
          </w:p>
        </w:tc>
      </w:tr>
      <w:tr>
        <w:tc>
          <w:tcPr>
            <w:tcW w:type="dxa" w:w="36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plot_gmm_matching(...)</w:t>
            </w:r>
          </w:p>
        </w:tc>
        <w:tc>
          <w:tcPr>
            <w:tcW w:type="dxa" w:w="32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Visualization of matched pairs</w:t>
            </w:r>
          </w:p>
        </w:tc>
        <w:tc>
          <w:tcPr>
            <w:tcW w:type="dxa" w:w="256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O(K*N)</w:t>
            </w:r>
          </w:p>
        </w:tc>
      </w:tr>
    </w:tbl>
    <w:p>
      <w:pPr>
        <w:spacing w:before="120" w:after="0"/>
      </w:pPr>
      <w:r>
        <w:t xml:space="preserve"/>
      </w:r>
    </w:p>
    <w:p>
      <w:pPr>
        <w:spacing w:before="60" w:after="100"/>
        <w:jc w:val="both"/>
      </w:pPr>
      <w:r>
        <w:rPr>
          <w:rFonts w:ascii="Arial" w:cs="Arial" w:eastAsia="Arial" w:hAnsi="Arial"/>
          <w:sz w:val="22"/>
          <w:szCs w:val="22"/>
        </w:rPr>
        <w:t xml:space="preserve">Numerical integration uses np.trapezoid (NumPy &gt;= 2.0) with a graceful fallback to np.trapz for earlier versions. The integration grid uses N = 10,000 points, providing a trapezoidal error of O(h^2) = O(1e-8) per interval — well below the precision required for the similarity metric.</w:t>
      </w:r>
    </w:p>
    <w:p>
      <w:pPr>
        <w:spacing w:before="120" w:after="0"/>
      </w:pPr>
      <w:r>
        <w:t xml:space="preserve"/>
      </w:r>
    </w:p>
    <w:p>
      <w:pPr>
        <w:pStyle w:val="Heading1"/>
        <w:spacing w:before="320" w:after="160"/>
      </w:pPr>
      <w:r>
        <w:rPr>
          <w:rFonts w:ascii="Arial" w:cs="Arial" w:eastAsia="Arial" w:hAnsi="Arial"/>
          <w:b/>
          <w:bCs/>
          <w:color w:val="2E4A7A"/>
          <w:sz w:val="28"/>
          <w:szCs w:val="28"/>
        </w:rPr>
        <w:t xml:space="preserve">4. Validation Results</w:t>
      </w:r>
    </w:p>
    <w:p>
      <w:pPr>
        <w:pStyle w:val="Heading2"/>
        <w:spacing w:before="240" w:after="120"/>
      </w:pPr>
      <w:r>
        <w:rPr>
          <w:rFonts w:ascii="Arial" w:cs="Arial" w:eastAsia="Arial" w:hAnsi="Arial"/>
          <w:b/>
          <w:bCs/>
          <w:color w:val="1A5276"/>
          <w:sz w:val="24"/>
          <w:szCs w:val="24"/>
        </w:rPr>
        <w:t xml:space="preserve">4.1  Test Suite Overview</w:t>
      </w:r>
    </w:p>
    <w:p>
      <w:pPr>
        <w:spacing w:before="60" w:after="100"/>
        <w:jc w:val="both"/>
      </w:pPr>
      <w:r>
        <w:rPr>
          <w:rFonts w:ascii="Arial" w:cs="Arial" w:eastAsia="Arial" w:hAnsi="Arial"/>
          <w:sz w:val="22"/>
          <w:szCs w:val="22"/>
        </w:rPr>
        <w:t xml:space="preserve">A comprehensive test suite of 12 programmatic tests across 6 groups was executed on the notebook. All 12 tests passed (100% pass rate). The groups and their rationale are described below.</w:t>
      </w:r>
    </w:p>
    <w:p>
      <w:pPr>
        <w:spacing w:before="120" w:after="0"/>
      </w:pPr>
      <w:r>
        <w:t xml:space="preserve"/>
      </w:r>
    </w:p>
    <w:p>
      <w:pPr>
        <w:pStyle w:val="Heading2"/>
        <w:spacing w:before="240" w:after="120"/>
      </w:pPr>
      <w:r>
        <w:rPr>
          <w:rFonts w:ascii="Arial" w:cs="Arial" w:eastAsia="Arial" w:hAnsi="Arial"/>
          <w:b/>
          <w:bCs/>
          <w:color w:val="1A5276"/>
          <w:sz w:val="24"/>
          <w:szCs w:val="24"/>
        </w:rPr>
        <w:t xml:space="preserve">4.2  Group 0: Normalization Sanity Check</w:t>
      </w:r>
    </w:p>
    <w:p>
      <w:pPr>
        <w:spacing w:before="60" w:after="100"/>
        <w:jc w:val="both"/>
      </w:pPr>
      <w:r>
        <w:rPr>
          <w:rFonts w:ascii="Arial" w:cs="Arial" w:eastAsia="Arial" w:hAnsi="Arial"/>
          <w:sz w:val="22"/>
          <w:szCs w:val="22"/>
        </w:rPr>
        <w:t xml:space="preserve">Four GMMs of varying complexity were verified to have total AUC = 1.00000000 after the normalization step:</w:t>
      </w:r>
    </w:p>
    <w:p>
      <w:pPr>
        <w:spacing w:before="80" w:after="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1580"/>
      </w:tblGrid>
      <w:tr>
        <w:trPr>
          <w:tblHeader/>
        </w:trPr>
        <w:tc>
          <w:tcPr>
            <w:tcW w:type="dxa" w:w="42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GMM Configuration</w:t>
            </w:r>
          </w:p>
        </w:tc>
        <w:tc>
          <w:tcPr>
            <w:tcW w:type="dxa" w:w="258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Total AUC</w:t>
            </w:r>
          </w:p>
        </w:tc>
        <w:tc>
          <w:tcPr>
            <w:tcW w:type="dxa" w:w="158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Result</w:t>
            </w:r>
          </w:p>
        </w:tc>
      </w:tr>
      <w:tr>
        <w:tc>
          <w:tcPr>
            <w:tcW w:type="dxa" w:w="42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1-component</w:t>
            </w:r>
          </w:p>
        </w:tc>
        <w:tc>
          <w:tcPr>
            <w:tcW w:type="dxa" w:w="258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1.00000000</w:t>
            </w:r>
          </w:p>
        </w:tc>
        <w:tc>
          <w:tcPr>
            <w:tcW w:type="dxa" w:w="158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3-component (balanced)</w:t>
            </w:r>
          </w:p>
        </w:tc>
        <w:tc>
          <w:tcPr>
            <w:tcW w:type="dxa" w:w="2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1.00000000</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2-component (unequal sizes: 100/900)</w:t>
            </w:r>
          </w:p>
        </w:tc>
        <w:tc>
          <w:tcPr>
            <w:tcW w:type="dxa" w:w="258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1.00000000</w:t>
            </w:r>
          </w:p>
        </w:tc>
        <w:tc>
          <w:tcPr>
            <w:tcW w:type="dxa" w:w="158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4-component</w:t>
            </w:r>
          </w:p>
        </w:tc>
        <w:tc>
          <w:tcPr>
            <w:tcW w:type="dxa" w:w="2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1.00000000</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PASS</w:t>
            </w:r>
          </w:p>
        </w:tc>
      </w:tr>
    </w:tbl>
    <w:p>
      <w:pPr>
        <w:spacing w:before="120" w:after="0"/>
      </w:pPr>
      <w:r>
        <w:t xml:space="preserve"/>
      </w:r>
    </w:p>
    <w:p>
      <w:pPr>
        <w:spacing w:before="60" w:after="100"/>
        <w:jc w:val="both"/>
      </w:pPr>
      <w:r>
        <w:rPr>
          <w:rFonts w:ascii="Arial" w:cs="Arial" w:eastAsia="Arial" w:hAnsi="Arial"/>
          <w:sz w:val="22"/>
          <w:szCs w:val="22"/>
        </w:rPr>
        <w:t xml:space="preserve">The normalization is exact to 8 decimal places for all tested configurations, confirming that the finite-domain correction is numerically robust.</w:t>
      </w:r>
    </w:p>
    <w:p>
      <w:pPr>
        <w:spacing w:before="120" w:after="0"/>
      </w:pPr>
      <w:r>
        <w:t xml:space="preserve"/>
      </w:r>
    </w:p>
    <w:p>
      <w:pPr>
        <w:pStyle w:val="Heading2"/>
        <w:spacing w:before="240" w:after="120"/>
      </w:pPr>
      <w:r>
        <w:rPr>
          <w:rFonts w:ascii="Arial" w:cs="Arial" w:eastAsia="Arial" w:hAnsi="Arial"/>
          <w:b/>
          <w:bCs/>
          <w:color w:val="1A5276"/>
          <w:sz w:val="24"/>
          <w:szCs w:val="24"/>
        </w:rPr>
        <w:t xml:space="preserve">4.3  Group 1: Identity and Near-Identity</w:t>
      </w:r>
    </w:p>
    <w:tbl>
      <w:tblPr>
        <w:tblW w:type="dxa" w:w="79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1500"/>
        <w:gridCol w:w="1260"/>
      </w:tblGrid>
      <w:tr>
        <w:trPr>
          <w:tblHeader/>
        </w:trPr>
        <w:tc>
          <w:tcPr>
            <w:tcW w:type="dxa" w:w="38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w:t>
            </w:r>
          </w:p>
        </w:tc>
        <w:tc>
          <w:tcPr>
            <w:tcW w:type="dxa" w:w="14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Score</w:t>
            </w:r>
          </w:p>
        </w:tc>
        <w:tc>
          <w:tcPr>
            <w:tcW w:type="dxa" w:w="15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Expected</w:t>
            </w:r>
          </w:p>
        </w:tc>
        <w:tc>
          <w:tcPr>
            <w:tcW w:type="dxa" w:w="12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Result</w:t>
            </w:r>
          </w:p>
        </w:tc>
      </w:tr>
      <w:tr>
        <w:tc>
          <w:tcPr>
            <w:tcW w:type="dxa" w:w="38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Identical single gaussian</w:t>
            </w:r>
          </w:p>
        </w:tc>
        <w:tc>
          <w:tcPr>
            <w:tcW w:type="dxa" w:w="14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1.0000</w:t>
            </w:r>
          </w:p>
        </w:tc>
        <w:tc>
          <w:tcPr>
            <w:tcW w:type="dxa" w:w="15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[0.99, 1.00]</w:t>
            </w:r>
          </w:p>
        </w:tc>
        <w:tc>
          <w:tcPr>
            <w:tcW w:type="dxa" w:w="126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PASS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Identical 3-component GMM</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1.0000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[0.99, 1.00]</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PASS</w:t>
            </w:r>
          </w:p>
        </w:tc>
      </w:tr>
      <w:tr>
        <w:tc>
          <w:tcPr>
            <w:tcW w:type="dxa" w:w="38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Near-identical single gaussian (shift=0.1)</w:t>
            </w:r>
          </w:p>
        </w:tc>
        <w:tc>
          <w:tcPr>
            <w:tcW w:type="dxa" w:w="14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0.9101</w:t>
            </w:r>
          </w:p>
        </w:tc>
        <w:tc>
          <w:tcPr>
            <w:tcW w:type="dxa" w:w="15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[0.85, 1.00]</w:t>
            </w:r>
          </w:p>
        </w:tc>
        <w:tc>
          <w:tcPr>
            <w:tcW w:type="dxa" w:w="126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PASS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Near-identical 3-component (shift=0.1)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0.8806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[0.80, 1.00]</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PASS</w:t>
            </w:r>
          </w:p>
        </w:tc>
      </w:tr>
    </w:tbl>
    <w:p>
      <w:pPr>
        <w:spacing w:before="120" w:after="0"/>
      </w:pPr>
      <w:r>
        <w:t xml:space="preserve"/>
      </w:r>
    </w:p>
    <w:p>
      <w:pPr>
        <w:spacing w:before="60" w:after="100"/>
        <w:jc w:val="both"/>
      </w:pPr>
      <w:r>
        <w:rPr>
          <w:rFonts w:ascii="Arial" w:cs="Arial" w:eastAsia="Arial" w:hAnsi="Arial"/>
          <w:sz w:val="22"/>
          <w:szCs w:val="22"/>
        </w:rPr>
        <w:t xml:space="preserve">Identity tests confirm J = 1.0 for self-comparison. A mean shift of 0.1 sigma reduces the score to approximately 0.91 for a single Gaussian, consistent with the theoretical overlap of two N(0,1) and N(0.1,1) distributions.</w:t>
      </w:r>
    </w:p>
    <w:p>
      <w:pPr>
        <w:spacing w:before="120" w:after="0"/>
      </w:pPr>
      <w:r>
        <w:t xml:space="preserve"/>
      </w:r>
    </w:p>
    <w:p>
      <w:pPr>
        <w:pStyle w:val="Heading2"/>
        <w:spacing w:before="240" w:after="120"/>
      </w:pPr>
      <w:r>
        <w:rPr>
          <w:rFonts w:ascii="Arial" w:cs="Arial" w:eastAsia="Arial" w:hAnsi="Arial"/>
          <w:b/>
          <w:bCs/>
          <w:color w:val="1A5276"/>
          <w:sz w:val="24"/>
          <w:szCs w:val="24"/>
        </w:rPr>
        <w:t xml:space="preserve">4.4  Group 2: Zero Overlap</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1500"/>
        <w:gridCol w:w="1260"/>
      </w:tblGrid>
      <w:tr>
        <w:trPr>
          <w:tblHeader/>
        </w:trPr>
        <w:tc>
          <w:tcPr>
            <w:tcW w:type="dxa" w:w="42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w:t>
            </w:r>
          </w:p>
        </w:tc>
        <w:tc>
          <w:tcPr>
            <w:tcW w:type="dxa" w:w="14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Score</w:t>
            </w:r>
          </w:p>
        </w:tc>
        <w:tc>
          <w:tcPr>
            <w:tcW w:type="dxa" w:w="15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Expected</w:t>
            </w:r>
          </w:p>
        </w:tc>
        <w:tc>
          <w:tcPr>
            <w:tcW w:type="dxa" w:w="12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Result</w:t>
            </w:r>
          </w:p>
        </w:tc>
      </w:tr>
      <w:tr>
        <w:tc>
          <w:tcPr>
            <w:tcW w:type="dxa" w:w="42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Single gaussians far apart (dist=20 sigma)</w:t>
            </w:r>
          </w:p>
        </w:tc>
        <w:tc>
          <w:tcPr>
            <w:tcW w:type="dxa" w:w="14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0.0000</w:t>
            </w:r>
          </w:p>
        </w:tc>
        <w:tc>
          <w:tcPr>
            <w:tcW w:type="dxa" w:w="15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[0.00, 0.01]</w:t>
            </w:r>
          </w:p>
        </w:tc>
        <w:tc>
          <w:tcPr>
            <w:tcW w:type="dxa" w:w="126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3-component GMMs fully separated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0.0000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[0.00, 0.02]</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PASS</w:t>
            </w:r>
          </w:p>
        </w:tc>
      </w:tr>
    </w:tbl>
    <w:p>
      <w:pPr>
        <w:spacing w:before="120" w:after="0"/>
      </w:pPr>
      <w:r>
        <w:t xml:space="preserve"/>
      </w:r>
    </w:p>
    <w:p>
      <w:pPr>
        <w:spacing w:before="60" w:after="100"/>
        <w:jc w:val="both"/>
      </w:pPr>
      <w:r>
        <w:rPr>
          <w:rFonts w:ascii="Arial" w:cs="Arial" w:eastAsia="Arial" w:hAnsi="Arial"/>
          <w:sz w:val="22"/>
          <w:szCs w:val="22"/>
        </w:rPr>
        <w:t xml:space="preserve">Distributions separated by 20 standard deviations yield a Jaccard of 0.0000 to numerical precision, confirming correct handling of the null-overlap case.</w:t>
      </w:r>
    </w:p>
    <w:p>
      <w:pPr>
        <w:spacing w:before="120" w:after="0"/>
      </w:pPr>
      <w:r>
        <w:t xml:space="preserve"/>
      </w:r>
    </w:p>
    <w:p>
      <w:pPr>
        <w:pStyle w:val="Heading2"/>
        <w:spacing w:before="240" w:after="120"/>
      </w:pPr>
      <w:r>
        <w:rPr>
          <w:rFonts w:ascii="Arial" w:cs="Arial" w:eastAsia="Arial" w:hAnsi="Arial"/>
          <w:b/>
          <w:bCs/>
          <w:color w:val="1A5276"/>
          <w:sz w:val="24"/>
          <w:szCs w:val="24"/>
        </w:rPr>
        <w:t xml:space="preserve">4.5  Group 3: Partial Overlap</w:t>
      </w:r>
    </w:p>
    <w:tbl>
      <w:tblPr>
        <w:tblW w:type="dxa" w:w="79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1500"/>
        <w:gridCol w:w="1260"/>
      </w:tblGrid>
      <w:tr>
        <w:trPr>
          <w:tblHeader/>
        </w:trPr>
        <w:tc>
          <w:tcPr>
            <w:tcW w:type="dxa" w:w="38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w:t>
            </w:r>
          </w:p>
        </w:tc>
        <w:tc>
          <w:tcPr>
            <w:tcW w:type="dxa" w:w="14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Score</w:t>
            </w:r>
          </w:p>
        </w:tc>
        <w:tc>
          <w:tcPr>
            <w:tcW w:type="dxa" w:w="15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Expected</w:t>
            </w:r>
          </w:p>
        </w:tc>
        <w:tc>
          <w:tcPr>
            <w:tcW w:type="dxa" w:w="12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Result</w:t>
            </w:r>
          </w:p>
        </w:tc>
      </w:tr>
      <w:tr>
        <w:tc>
          <w:tcPr>
            <w:tcW w:type="dxa" w:w="38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Shift = 1 sigma</w:t>
            </w:r>
          </w:p>
        </w:tc>
        <w:tc>
          <w:tcPr>
            <w:tcW w:type="dxa" w:w="14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0.4379</w:t>
            </w:r>
          </w:p>
        </w:tc>
        <w:tc>
          <w:tcPr>
            <w:tcW w:type="dxa" w:w="15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[0.30, 0.70]</w:t>
            </w:r>
          </w:p>
        </w:tc>
        <w:tc>
          <w:tcPr>
            <w:tcW w:type="dxa" w:w="126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PASS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Shift = 2 sigma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0.1999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[0.05, 0.35]</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PASS</w:t>
            </w:r>
          </w:p>
        </w:tc>
      </w:tr>
      <w:tr>
        <w:tc>
          <w:tcPr>
            <w:tcW w:type="dxa" w:w="38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Same mean, std ratio = 2x</w:t>
            </w:r>
          </w:p>
        </w:tc>
        <w:tc>
          <w:tcPr>
            <w:tcW w:type="dxa" w:w="14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0.5094</w:t>
            </w:r>
          </w:p>
        </w:tc>
        <w:tc>
          <w:tcPr>
            <w:tcW w:type="dxa" w:w="15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[0.40, 0.80]</w:t>
            </w:r>
          </w:p>
        </w:tc>
        <w:tc>
          <w:tcPr>
            <w:tcW w:type="dxa" w:w="126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PASS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Same mean, std ratio = 5x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0.2129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[0.10, 0.55]</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PASS</w:t>
            </w:r>
          </w:p>
        </w:tc>
      </w:tr>
    </w:tbl>
    <w:p>
      <w:pPr>
        <w:spacing w:before="120" w:after="0"/>
      </w:pPr>
      <w:r>
        <w:t xml:space="preserve"/>
      </w:r>
    </w:p>
    <w:p>
      <w:pPr>
        <w:spacing w:before="60" w:after="100"/>
        <w:jc w:val="both"/>
      </w:pPr>
      <w:r>
        <w:rPr>
          <w:rFonts w:ascii="Arial" w:cs="Arial" w:eastAsia="Arial" w:hAnsi="Arial"/>
          <w:sz w:val="22"/>
          <w:szCs w:val="22"/>
        </w:rPr>
        <w:t xml:space="preserve">Scores decrease monotonically with increasing separation or shape divergence. The score of 0.4379 at 1-sigma shift and 0.1999 at 2-sigma shift are consistent with the known analytic overlap integrals of normal distributions.</w:t>
      </w:r>
    </w:p>
    <w:p>
      <w:pPr>
        <w:spacing w:before="120" w:after="0"/>
      </w:pPr>
      <w:r>
        <w:t xml:space="preserve"/>
      </w:r>
    </w:p>
    <w:p>
      <w:pPr>
        <w:pStyle w:val="Heading2"/>
        <w:spacing w:before="240" w:after="120"/>
      </w:pPr>
      <w:r>
        <w:rPr>
          <w:rFonts w:ascii="Arial" w:cs="Arial" w:eastAsia="Arial" w:hAnsi="Arial"/>
          <w:b/>
          <w:bCs/>
          <w:color w:val="1A5276"/>
          <w:sz w:val="24"/>
          <w:szCs w:val="24"/>
        </w:rPr>
        <w:t xml:space="preserve">4.6  Group 4: Asymmetric Component Counts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1500"/>
        <w:gridCol w:w="1260"/>
      </w:tblGrid>
      <w:tr>
        <w:trPr>
          <w:tblHeader/>
        </w:trPr>
        <w:tc>
          <w:tcPr>
            <w:tcW w:type="dxa" w:w="42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w:t>
            </w:r>
          </w:p>
        </w:tc>
        <w:tc>
          <w:tcPr>
            <w:tcW w:type="dxa" w:w="14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Score</w:t>
            </w:r>
          </w:p>
        </w:tc>
        <w:tc>
          <w:tcPr>
            <w:tcW w:type="dxa" w:w="15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Expected</w:t>
            </w:r>
          </w:p>
        </w:tc>
        <w:tc>
          <w:tcPr>
            <w:tcW w:type="dxa" w:w="12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Result</w:t>
            </w:r>
          </w:p>
        </w:tc>
      </w:tr>
      <w:tr>
        <w:tc>
          <w:tcPr>
            <w:tcW w:type="dxa" w:w="42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3 vs 2 components, 2 matching well</w:t>
            </w:r>
          </w:p>
        </w:tc>
        <w:tc>
          <w:tcPr>
            <w:tcW w:type="dxa" w:w="14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0.7959</w:t>
            </w:r>
          </w:p>
        </w:tc>
        <w:tc>
          <w:tcPr>
            <w:tcW w:type="dxa" w:w="15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[0.60, 1.00]</w:t>
            </w:r>
          </w:p>
        </w:tc>
        <w:tc>
          <w:tcPr>
            <w:tcW w:type="dxa" w:w="126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1 vs 3 components, 1 match expected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0.5001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[0.40, 1.00]</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PASS</w:t>
            </w:r>
          </w:p>
        </w:tc>
      </w:tr>
    </w:tbl>
    <w:p>
      <w:pPr>
        <w:spacing w:before="120" w:after="0"/>
      </w:pPr>
      <w:r>
        <w:t xml:space="preserve"/>
      </w:r>
    </w:p>
    <w:p>
      <w:pPr>
        <w:spacing w:before="60" w:after="100"/>
        <w:jc w:val="both"/>
      </w:pPr>
      <w:r>
        <w:rPr>
          <w:rFonts w:ascii="Arial" w:cs="Arial" w:eastAsia="Arial" w:hAnsi="Arial"/>
          <w:sz w:val="22"/>
          <w:szCs w:val="22"/>
        </w:rPr>
        <w:t xml:space="preserve">When K_A != K_B, normalization by min(K_A, K_B) correctly bounds the score. The unmatched components are silently dropped, penalizing structural mismatch through a lower per-pair score budget rather than an explicit penalty term.</w:t>
      </w:r>
    </w:p>
    <w:p>
      <w:pPr>
        <w:spacing w:before="120" w:after="0"/>
      </w:pPr>
      <w:r>
        <w:t xml:space="preserve"/>
      </w:r>
    </w:p>
    <w:p>
      <w:pPr>
        <w:pStyle w:val="Heading2"/>
        <w:spacing w:before="240" w:after="120"/>
      </w:pPr>
      <w:r>
        <w:rPr>
          <w:rFonts w:ascii="Arial" w:cs="Arial" w:eastAsia="Arial" w:hAnsi="Arial"/>
          <w:b/>
          <w:bCs/>
          <w:color w:val="1A5276"/>
          <w:sz w:val="24"/>
          <w:szCs w:val="24"/>
        </w:rPr>
        <w:t xml:space="preserve">4.7  Group 5: Symmetry</w:t>
      </w:r>
    </w:p>
    <w:p>
      <w:pPr>
        <w:spacing w:before="60" w:after="100"/>
        <w:jc w:val="both"/>
      </w:pPr>
      <w:r>
        <w:rPr>
          <w:rFonts w:ascii="Arial" w:cs="Arial" w:eastAsia="Arial" w:hAnsi="Arial"/>
          <w:sz w:val="22"/>
          <w:szCs w:val="22"/>
        </w:rPr>
        <w:t xml:space="preserve">The metric was evaluated in both directions for a pair of 3-component GMMs with moderate shifts: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Direction</w:t>
            </w:r>
          </w:p>
        </w:tc>
        <w:tc>
          <w:tcPr>
            <w:tcW w:type="dxa" w:w="20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Score</w:t>
            </w:r>
          </w:p>
        </w:tc>
        <w:tc>
          <w:tcPr>
            <w:tcW w:type="dxa" w:w="43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Difference</w:t>
            </w:r>
          </w:p>
        </w:tc>
      </w:tr>
      <w:tr>
        <w:tc>
          <w:tcPr>
            <w:tcW w:type="dxa" w:w="30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score(A, B)</w:t>
            </w:r>
          </w:p>
        </w:tc>
        <w:tc>
          <w:tcPr>
            <w:tcW w:type="dxa" w:w="20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0.4621</w:t>
            </w:r>
          </w:p>
        </w:tc>
        <w:tc>
          <w:tcPr>
            <w:tcW w:type="dxa" w:w="436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score(B, 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0.4621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0.0000</w:t>
            </w:r>
          </w:p>
        </w:tc>
      </w:tr>
    </w:tbl>
    <w:p>
      <w:pPr>
        <w:spacing w:before="120" w:after="0"/>
      </w:pPr>
      <w:r>
        <w:t xml:space="preserve"/>
      </w:r>
    </w:p>
    <w:p>
      <w:pPr>
        <w:spacing w:before="60" w:after="100"/>
        <w:jc w:val="both"/>
      </w:pPr>
      <w:r>
        <w:rPr>
          <w:rFonts w:ascii="Arial" w:cs="Arial" w:eastAsia="Arial" w:hAnsi="Arial"/>
          <w:sz w:val="22"/>
          <w:szCs w:val="22"/>
        </w:rPr>
        <w:t xml:space="preserve">Perfect symmetry (diff = 0.0000) is observed. This follows from the symmetry of the Jaccard index J(f1,f2) = J(f2,f1) and the symmetric greedy matching (AUC ordering of A and B may differ, but the best-Jaccard search is exhaustive over remaining candidates).</w:t>
      </w:r>
    </w:p>
    <w:p>
      <w:pPr>
        <w:spacing w:before="120" w:after="0"/>
      </w:pPr>
      <w:r>
        <w:t xml:space="preserve"/>
      </w:r>
    </w:p>
    <w:p>
      <w:pPr>
        <w:pStyle w:val="Heading2"/>
        <w:spacing w:before="240" w:after="120"/>
      </w:pPr>
      <w:r>
        <w:rPr>
          <w:rFonts w:ascii="Arial" w:cs="Arial" w:eastAsia="Arial" w:hAnsi="Arial"/>
          <w:b/>
          <w:bCs/>
          <w:color w:val="1A5276"/>
          <w:sz w:val="24"/>
          <w:szCs w:val="24"/>
        </w:rPr>
        <w:t xml:space="preserve">4.8  Group 6: Monotonicity</w:t>
      </w:r>
    </w:p>
    <w:p>
      <w:pPr>
        <w:spacing w:before="60" w:after="100"/>
        <w:jc w:val="both"/>
      </w:pPr>
      <w:r>
        <w:rPr>
          <w:rFonts w:ascii="Arial" w:cs="Arial" w:eastAsia="Arial" w:hAnsi="Arial"/>
          <w:sz w:val="22"/>
          <w:szCs w:val="22"/>
        </w:rPr>
        <w:t xml:space="preserve">The score was evaluated for a single-component GMM compared against shifted versions at 5 shift levels: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Mean Shift (sigma units)</w:t>
            </w:r>
          </w:p>
        </w:tc>
        <w:tc>
          <w:tcPr>
            <w:tcW w:type="dxa" w:w="468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Normalized Jaccard Score</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0.0</w:t>
            </w:r>
          </w:p>
        </w:tc>
        <w:tc>
          <w:tcPr>
            <w:tcW w:type="dxa" w:w="468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0.9439</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0.5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0.7116</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1.0</w:t>
            </w:r>
          </w:p>
        </w:tc>
        <w:tc>
          <w:tcPr>
            <w:tcW w:type="dxa" w:w="468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0.4806</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2.0</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0.1914</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4.0</w:t>
            </w:r>
          </w:p>
        </w:tc>
        <w:tc>
          <w:tcPr>
            <w:tcW w:type="dxa" w:w="468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0.0258</w:t>
            </w:r>
          </w:p>
        </w:tc>
      </w:tr>
    </w:tbl>
    <w:p>
      <w:pPr>
        <w:spacing w:before="120" w:after="0"/>
      </w:pPr>
      <w:r>
        <w:t xml:space="preserve"/>
      </w:r>
    </w:p>
    <w:p>
      <w:pPr>
        <w:spacing w:before="60" w:after="100"/>
        <w:jc w:val="both"/>
      </w:pPr>
      <w:r>
        <w:rPr>
          <w:rFonts w:ascii="Arial" w:cs="Arial" w:eastAsia="Arial" w:hAnsi="Arial"/>
          <w:sz w:val="22"/>
          <w:szCs w:val="22"/>
        </w:rPr>
        <w:t xml:space="preserve">Strict monotonic decrease is observed across all shift levels. Note that the self-comparison score at shift=0 is 0.9439 rather than 1.0: this is because separate GMM fits to two independent samples from the same distribution introduce sampling variability, slightly displacing the fitted means and widths. This is the expected and correct behavior — the metric measures distributional similarity, not parameter identity.</w:t>
      </w:r>
    </w:p>
    <w:p>
      <w:pPr>
        <w:spacing w:before="120" w:after="0"/>
      </w:pPr>
      <w:r>
        <w:t xml:space="preserve"/>
      </w:r>
    </w:p>
    <w:p>
      <w:pPr>
        <w:pStyle w:val="Heading1"/>
        <w:spacing w:before="320" w:after="160"/>
      </w:pPr>
      <w:r>
        <w:rPr>
          <w:rFonts w:ascii="Arial" w:cs="Arial" w:eastAsia="Arial" w:hAnsi="Arial"/>
          <w:b/>
          <w:bCs/>
          <w:color w:val="2E4A7A"/>
          <w:sz w:val="28"/>
          <w:szCs w:val="28"/>
        </w:rPr>
        <w:t xml:space="preserve">5. Full GMM Comparison: Notebook Cell 2 Results</w:t>
      </w:r>
    </w:p>
    <w:p>
      <w:pPr>
        <w:spacing w:before="60" w:after="100"/>
        <w:jc w:val="both"/>
      </w:pPr>
      <w:r>
        <w:rPr>
          <w:rFonts w:ascii="Arial" w:cs="Arial" w:eastAsia="Arial" w:hAnsi="Arial"/>
          <w:sz w:val="22"/>
          <w:szCs w:val="22"/>
        </w:rPr>
        <w:t xml:space="preserve">The main comparison was run on GMM_A (4 components) versus GMM_B (3 components), with the following fitted parameters after AUC normalization:</w:t>
      </w:r>
    </w:p>
    <w:p>
      <w:pPr>
        <w:spacing w:before="80" w:after="0"/>
      </w:pPr>
      <w:r>
        <w:t xml:space="preserve"/>
      </w:r>
    </w:p>
    <w:p>
      <w:pPr>
        <w:spacing w:before="200" w:after="100"/>
      </w:pPr>
      <w:r>
        <w:rPr>
          <w:rFonts w:ascii="Arial" w:cs="Arial" w:eastAsia="Arial" w:hAnsi="Arial"/>
          <w:b/>
          <w:bCs/>
          <w:color w:val="1F618D"/>
          <w:sz w:val="22"/>
          <w:szCs w:val="22"/>
        </w:rPr>
        <w:t xml:space="preserve">GMM_A Components (sorted by AUC descending)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Rank</w:t>
            </w:r>
          </w:p>
        </w:tc>
        <w:tc>
          <w:tcPr>
            <w:tcW w:type="dxa" w:w="234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AUC_A</w:t>
            </w:r>
          </w:p>
        </w:tc>
        <w:tc>
          <w:tcPr>
            <w:tcW w:type="dxa" w:w="234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AUC_B (matched)</w:t>
            </w:r>
          </w:p>
        </w:tc>
        <w:tc>
          <w:tcPr>
            <w:tcW w:type="dxa" w:w="234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Jaccard</w:t>
            </w:r>
          </w:p>
        </w:tc>
      </w:tr>
      <w:tr>
        <w:tc>
          <w:tcPr>
            <w:tcW w:type="dxa" w:w="234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A[0] -&gt; B[0]</w:t>
            </w:r>
          </w:p>
        </w:tc>
        <w:tc>
          <w:tcPr>
            <w:tcW w:type="dxa" w:w="234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0.3858</w:t>
            </w:r>
          </w:p>
        </w:tc>
        <w:tc>
          <w:tcPr>
            <w:tcW w:type="dxa" w:w="234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0.4473</w:t>
            </w:r>
          </w:p>
        </w:tc>
        <w:tc>
          <w:tcPr>
            <w:tcW w:type="dxa" w:w="234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0.5613</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A[1] -&gt; B[1]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0.3758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0.3000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0.1687</w:t>
            </w:r>
          </w:p>
        </w:tc>
      </w:tr>
      <w:tr>
        <w:tc>
          <w:tcPr>
            <w:tcW w:type="dxa" w:w="234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A[2] -&gt; B[2]</w:t>
            </w:r>
          </w:p>
        </w:tc>
        <w:tc>
          <w:tcPr>
            <w:tcW w:type="dxa" w:w="234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0.2384</w:t>
            </w:r>
          </w:p>
        </w:tc>
        <w:tc>
          <w:tcPr>
            <w:tcW w:type="dxa" w:w="234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0.2527</w:t>
            </w:r>
          </w:p>
        </w:tc>
        <w:tc>
          <w:tcPr>
            <w:tcW w:type="dxa" w:w="234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0.4111</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43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r>
      <w:tr>
        <w:tc>
          <w:tcPr>
            <w:tcW w:type="dxa" w:w="50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Raw Jaccard score</w:t>
            </w:r>
          </w:p>
        </w:tc>
        <w:tc>
          <w:tcPr>
            <w:tcW w:type="dxa" w:w="436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1.1411</w:t>
            </w:r>
          </w:p>
        </w:tc>
      </w:tr>
      <w:tr>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Max possible (3 matched pairs)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w:t>
            </w:r>
          </w:p>
        </w:tc>
      </w:tr>
      <w:tr>
        <w:tc>
          <w:tcPr>
            <w:tcW w:type="dxa" w:w="500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left"/>
            </w:pPr>
            <w:r>
              <w:rPr>
                <w:rFonts w:ascii="Arial" w:cs="Arial" w:eastAsia="Arial" w:hAnsi="Arial"/>
                <w:sz w:val="20"/>
                <w:szCs w:val="20"/>
              </w:rPr>
              <w:t xml:space="preserve">Normalized similarity score</w:t>
            </w:r>
          </w:p>
        </w:tc>
        <w:tc>
          <w:tcPr>
            <w:tcW w:type="dxa" w:w="4360"/>
            <w:tcBorders>
              <w:top w:val="single" w:color="CCCCCC" w:sz="1"/>
              <w:left w:val="single" w:color="CCCCCC" w:sz="1"/>
              <w:bottom w:val="single" w:color="CCCCCC" w:sz="1"/>
              <w:right w:val="single" w:color="CCCCCC" w:sz="1"/>
            </w:tcBorders>
            <w:shd w:fill="EAF2FB" w:val="clear"/>
            <w:tcMar>
              <w:top w:type="dxa" w:w="80"/>
              <w:left w:type="dxa" w:w="120"/>
              <w:bottom w:type="dxa" w:w="80"/>
              <w:right w:type="dxa" w:w="120"/>
            </w:tcMar>
          </w:tcPr>
          <w:p>
            <w:pPr>
              <w:jc w:val="center"/>
            </w:pPr>
            <w:r>
              <w:rPr>
                <w:rFonts w:ascii="Arial" w:cs="Arial" w:eastAsia="Arial" w:hAnsi="Arial"/>
                <w:sz w:val="20"/>
                <w:szCs w:val="20"/>
              </w:rPr>
              <w:t xml:space="preserve">0.3804</w:t>
            </w:r>
          </w:p>
        </w:tc>
      </w:tr>
    </w:tbl>
    <w:p>
      <w:pPr>
        <w:spacing w:before="120" w:after="0"/>
      </w:pPr>
      <w:r>
        <w:t xml:space="preserve"/>
      </w:r>
    </w:p>
    <w:p>
      <w:pPr>
        <w:spacing w:before="60" w:after="100"/>
        <w:jc w:val="both"/>
      </w:pPr>
      <w:r>
        <w:rPr>
          <w:rFonts w:ascii="Arial" w:cs="Arial" w:eastAsia="Arial" w:hAnsi="Arial"/>
          <w:sz w:val="22"/>
          <w:szCs w:val="22"/>
        </w:rPr>
        <w:t xml:space="preserve">The normalized score of 0.38 reflects moderate similarity between the two GMMs. The first matched pair (A[0]-B[0]) shows the strongest overlap (J=0.56), while the second pair (A[1]-B[1]) has the lowest (J=0.17), indicating a component in GMM_A with no close analogue in GMM_B. The unmatched 4th component of GMM_A (present in the data generation but absorbed by the 3-component fit) contributes zero to the score by the min(K_A, K_B) normalization.</w:t>
      </w:r>
    </w:p>
    <w:p>
      <w:pPr>
        <w:spacing w:before="120" w:after="0"/>
      </w:pPr>
      <w:r>
        <w:t xml:space="preserve"/>
      </w:r>
    </w:p>
    <w:p>
      <w:pPr>
        <w:pStyle w:val="Heading1"/>
        <w:spacing w:before="320" w:after="160"/>
      </w:pPr>
      <w:r>
        <w:rPr>
          <w:rFonts w:ascii="Arial" w:cs="Arial" w:eastAsia="Arial" w:hAnsi="Arial"/>
          <w:b/>
          <w:bCs/>
          <w:color w:val="2E4A7A"/>
          <w:sz w:val="28"/>
          <w:szCs w:val="28"/>
        </w:rPr>
        <w:t xml:space="preserve">6. Discussion</w:t>
      </w:r>
    </w:p>
    <w:p>
      <w:pPr>
        <w:pStyle w:val="Heading2"/>
        <w:spacing w:before="240" w:after="120"/>
      </w:pPr>
      <w:r>
        <w:rPr>
          <w:rFonts w:ascii="Arial" w:cs="Arial" w:eastAsia="Arial" w:hAnsi="Arial"/>
          <w:b/>
          <w:bCs/>
          <w:color w:val="1A5276"/>
          <w:sz w:val="24"/>
          <w:szCs w:val="24"/>
        </w:rPr>
        <w:t xml:space="preserve">6.1  Strengths</w:t>
      </w:r>
    </w:p>
    <w:p>
      <w:pPr>
        <w:spacing w:before="60" w:after="100"/>
        <w:jc w:val="both"/>
      </w:pPr>
      <w:r>
        <w:rPr>
          <w:rFonts w:ascii="Arial" w:cs="Arial" w:eastAsia="Arial" w:hAnsi="Arial"/>
          <w:sz w:val="22"/>
          <w:szCs w:val="22"/>
        </w:rPr>
        <w:t xml:space="preserve">The proposed metric has several desirable properties. It is bounded in [0, 1] and interpretable at both the component level (individual Jaccard values) and the mixture level (normalized aggregate). It handles GMMs with different numbers of components without modification. It is symmetric by construction. The AUC-sorted greedy matching ensures that dominant modes drive the metric, which is consistent with the probabilistic interpretation of mixture weights.</w:t>
      </w:r>
    </w:p>
    <w:p>
      <w:pPr>
        <w:spacing w:before="120" w:after="0"/>
      </w:pPr>
      <w:r>
        <w:t xml:space="preserve"/>
      </w:r>
    </w:p>
    <w:p>
      <w:pPr>
        <w:pStyle w:val="Heading2"/>
        <w:spacing w:before="240" w:after="120"/>
      </w:pPr>
      <w:r>
        <w:rPr>
          <w:rFonts w:ascii="Arial" w:cs="Arial" w:eastAsia="Arial" w:hAnsi="Arial"/>
          <w:b/>
          <w:bCs/>
          <w:color w:val="1A5276"/>
          <w:sz w:val="24"/>
          <w:szCs w:val="24"/>
        </w:rPr>
        <w:t xml:space="preserve">6.2  Limitations and Future Work</w:t>
      </w:r>
    </w:p>
    <w:p>
      <w:pPr>
        <w:spacing w:before="60" w:after="100"/>
        <w:jc w:val="both"/>
      </w:pPr>
      <w:r>
        <w:rPr>
          <w:rFonts w:ascii="Arial" w:cs="Arial" w:eastAsia="Arial" w:hAnsi="Arial"/>
          <w:sz w:val="22"/>
          <w:szCs w:val="22"/>
        </w:rPr>
        <w:t xml:space="preserve">The greedy matching is not guaranteed to find the globally optimal assignment. For K components, the optimal matching could be found via the Hungarian algorithm in O(K^3) time at the cost of additional complexity. In practice, for K &lt;= 10, the greedy approach and optimal assignment rarely differ significantly because the Jaccard scores between well-separated components are near zero.</w:t>
      </w:r>
    </w:p>
    <w:p>
      <w:pPr>
        <w:spacing w:before="80" w:after="0"/>
      </w:pPr>
      <w:r>
        <w:t xml:space="preserve"/>
      </w:r>
    </w:p>
    <w:p>
      <w:pPr>
        <w:spacing w:before="60" w:after="100"/>
        <w:jc w:val="both"/>
      </w:pPr>
      <w:r>
        <w:rPr>
          <w:rFonts w:ascii="Arial" w:cs="Arial" w:eastAsia="Arial" w:hAnsi="Arial"/>
          <w:sz w:val="22"/>
          <w:szCs w:val="22"/>
        </w:rPr>
        <w:t xml:space="preserve">The metric currently operates on 1-D GMMs. Extension to multivariate GMMs (d &gt; 1) requires replacing the 1-D Jaccard integral with a d-dimensional numerical integration, which becomes computationally expensive for d &gt; 3. Monte Carlo integration or closed-form bounds on Gaussian overlap (e.g., Bhattacharyya coefficient) may be preferable in high dimensions.</w:t>
      </w:r>
    </w:p>
    <w:p>
      <w:pPr>
        <w:spacing w:before="80" w:after="0"/>
      </w:pPr>
      <w:r>
        <w:t xml:space="preserve"/>
      </w:r>
    </w:p>
    <w:p>
      <w:pPr>
        <w:spacing w:before="60" w:after="100"/>
        <w:jc w:val="both"/>
      </w:pPr>
      <w:r>
        <w:rPr>
          <w:rFonts w:ascii="Arial" w:cs="Arial" w:eastAsia="Arial" w:hAnsi="Arial"/>
          <w:sz w:val="22"/>
          <w:szCs w:val="22"/>
        </w:rPr>
        <w:t xml:space="preserve">The normalization by min(K_A, K_B) does not penalize the absolute difference |K_A - K_B|. An alternative normalization by max(K_A, K_B) would impose a stricter penalty for structural mismatch, reducing the score whenever the two GMMs have different numbers of modes.</w:t>
      </w:r>
    </w:p>
    <w:p>
      <w:pPr>
        <w:spacing w:before="120" w:after="0"/>
      </w:pPr>
      <w:r>
        <w:t xml:space="preserve"/>
      </w:r>
    </w:p>
    <w:p>
      <w:pPr>
        <w:pStyle w:val="Heading2"/>
        <w:spacing w:before="240" w:after="120"/>
      </w:pPr>
      <w:r>
        <w:rPr>
          <w:rFonts w:ascii="Arial" w:cs="Arial" w:eastAsia="Arial" w:hAnsi="Arial"/>
          <w:b/>
          <w:bCs/>
          <w:color w:val="1A5276"/>
          <w:sz w:val="24"/>
          <w:szCs w:val="24"/>
        </w:rPr>
        <w:t xml:space="preserve">6.3  Potential Applications</w:t>
      </w:r>
    </w:p>
    <w:p>
      <w:pPr>
        <w:spacing w:before="60" w:after="100"/>
        <w:jc w:val="both"/>
      </w:pPr>
      <w:r>
        <w:rPr>
          <w:rFonts w:ascii="Arial" w:cs="Arial" w:eastAsia="Arial" w:hAnsi="Arial"/>
          <w:sz w:val="22"/>
          <w:szCs w:val="22"/>
        </w:rPr>
        <w:t xml:space="preserve">This metric is directly applicable to the comparison of EEG spectral density profiles modeled as GMMs across experimental sessions or subjects, the assessment of distributional shift in machine learning pipelines (covariate shift detection), the comparison of neuron firing rate distributions in computational neuroscience, and quality control in generative modeling by comparing the density of generated samples to the target distribution.</w:t>
      </w:r>
    </w:p>
    <w:p>
      <w:pPr>
        <w:spacing w:before="120" w:after="0"/>
      </w:pPr>
      <w:r>
        <w:t xml:space="preserve"/>
      </w:r>
    </w:p>
    <w:p>
      <w:pPr>
        <w:pStyle w:val="Heading1"/>
        <w:spacing w:before="320" w:after="160"/>
      </w:pPr>
      <w:r>
        <w:rPr>
          <w:rFonts w:ascii="Arial" w:cs="Arial" w:eastAsia="Arial" w:hAnsi="Arial"/>
          <w:b/>
          <w:bCs/>
          <w:color w:val="2E4A7A"/>
          <w:sz w:val="28"/>
          <w:szCs w:val="28"/>
        </w:rPr>
        <w:t xml:space="preserve">7. Conclusion</w:t>
      </w:r>
    </w:p>
    <w:p>
      <w:pPr>
        <w:spacing w:before="60" w:after="100"/>
        <w:jc w:val="both"/>
      </w:pPr>
      <w:r>
        <w:rPr>
          <w:rFonts w:ascii="Arial" w:cs="Arial" w:eastAsia="Arial" w:hAnsi="Arial"/>
          <w:sz w:val="22"/>
          <w:szCs w:val="22"/>
        </w:rPr>
        <w:t xml:space="preserve">A normalized, symmetric, and interpretable similarity metric for Gaussian Mixture Models has been developed and validated. The metric combines component-level Jaccard overlap with a greedy AUC-sorted matching strategy and probabilistic normalization anchored on AUC = 1. The full validation suite of 12 tests passes with 100% success across identity, null overlap, partial overlap, asymmetric component counts, symmetry, and monotonicity conditions. The implementation is concise (&lt; 80 lines of core code), numerically robust across NumPy versions, and ready for integration into analytical pipelines requiring distributional comparison of GMMs.</w:t>
      </w:r>
    </w:p>
    <w:p>
      <w:pPr>
        <w:spacing w:before="120" w:after="0"/>
      </w:pPr>
      <w:r>
        <w:t xml:space="preserve"/>
      </w:r>
    </w:p>
    <w:p>
      <w:pPr>
        <w:pBdr>
          <w:bottom w:val="single" w:color="2E4A7A" w:sz="6" w:space="1"/>
        </w:pBdr>
        <w:spacing w:before="120" w:after="120"/>
      </w:pPr>
      <w:r>
        <w:t xml:space="preserve"/>
      </w:r>
    </w:p>
    <w:p>
      <w:pPr>
        <w:spacing w:before="120" w:after="0"/>
        <w:jc w:val="center"/>
      </w:pPr>
      <w:r>
        <w:rPr>
          <w:rFonts w:ascii="Arial" w:cs="Arial" w:eastAsia="Arial" w:hAnsi="Arial"/>
          <w:i/>
          <w:iCs/>
          <w:color w:val="888888"/>
          <w:sz w:val="18"/>
          <w:szCs w:val="18"/>
        </w:rPr>
        <w:t xml:space="preserve">End of Report</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GMM Similarity Metric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4A7A"/>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2026-02-25T09:46:53.109Z</dcterms:created>
  <dcterms:modified xsi:type="dcterms:W3CDTF">2026-02-25T09:46:53.110Z</dcterms:modified>
</cp:coreProperties>
</file>

<file path=docProps/custom.xml><?xml version="1.0" encoding="utf-8"?>
<Properties xmlns="http://schemas.openxmlformats.org/officeDocument/2006/custom-properties" xmlns:vt="http://schemas.openxmlformats.org/officeDocument/2006/docPropsVTypes"/>
</file>