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CardioIA — Fase 1</w:t>
        <w:br/>
        <w:t>Batimentos de Dados</w:t>
      </w:r>
    </w:p>
    <w:p>
      <w:pPr>
        <w:jc w:val="center"/>
      </w:pPr>
      <w:r>
        <w:rPr>
          <w:b/>
          <w:sz w:val="28"/>
        </w:rPr>
        <w:t>Resumo Executivo — Bases revisadas pelo grupo</w:t>
      </w:r>
    </w:p>
    <w:p>
      <w:pPr>
        <w:jc w:val="center"/>
      </w:pPr>
      <w:r>
        <w:t>FIAP | 2º ano de Inteligência Artificial | 2026</w:t>
      </w:r>
    </w:p>
    <w:p>
      <w:r>
        <w:t>Integrantes: Cauan Otto Rodrigues Sousa (RM567940), Fernando A. Gurgel (RM567606), Iraci Monteiro Souza (RM567544), Maria Luisa Rodrigues Nascimento (RM567659) e Rafaela Torres Martins (RM567735).</w:t>
      </w:r>
    </w:p>
    <w:p>
      <w:r>
        <w:t>Tutor: Leonardo Ruiz Orabona | Coordenador: André Godoi</w:t>
      </w:r>
    </w:p>
    <w:p>
      <w:pPr>
        <w:pStyle w:val="Heading1"/>
      </w:pPr>
      <w:r>
        <w:t>1. Objetivo da Fase 1</w:t>
      </w:r>
    </w:p>
    <w:p>
      <w:r>
        <w:t>A atividade exige a organização de três modalidades de dados cardiovasculares — numéricos, textuais e visuais — com documentação de origem, possíveis aplicações em IA e cuidados iniciais de governança. A versão atual substitui as bases anteriores pelas fontes indicadas pelo grupo.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5B2C83"/>
          </w:tcPr>
          <w:p>
            <w:r>
              <w:rPr>
                <w:b/>
                <w:color w:val="FFFFFF"/>
              </w:rPr>
              <w:t>Modalidade</w:t>
            </w:r>
          </w:p>
        </w:tc>
        <w:tc>
          <w:tcPr>
            <w:tcW w:type="dxa" w:w="3360"/>
            <w:shd w:fill="5B2C83"/>
          </w:tcPr>
          <w:p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3360"/>
            <w:shd w:fill="5B2C83"/>
          </w:tcPr>
          <w:p>
            <w:r>
              <w:rPr>
                <w:b/>
                <w:color w:val="FFFFFF"/>
              </w:rPr>
              <w:t>Status no repositório</w:t>
            </w:r>
          </w:p>
        </w:tc>
      </w:tr>
      <w:tr>
        <w:tc>
          <w:tcPr>
            <w:tcW w:type="dxa" w:w="3360"/>
            <w:vAlign w:val="center"/>
          </w:tcPr>
          <w:p>
            <w:r>
              <w:t>Numérica</w:t>
            </w:r>
          </w:p>
        </w:tc>
        <w:tc>
          <w:tcPr>
            <w:tcW w:type="dxa" w:w="3360"/>
            <w:vAlign w:val="center"/>
          </w:tcPr>
          <w:p>
            <w:r>
              <w:t>Kaggle — Cardiovascular Disease dataset</w:t>
            </w:r>
          </w:p>
        </w:tc>
        <w:tc>
          <w:tcPr>
            <w:tcW w:type="dxa" w:w="3360"/>
            <w:vAlign w:val="center"/>
          </w:tcPr>
          <w:p>
            <w:r>
              <w:t>Amostra real de 100 registros + planilha preparada</w:t>
            </w:r>
          </w:p>
        </w:tc>
      </w:tr>
      <w:tr>
        <w:tc>
          <w:tcPr>
            <w:tcW w:type="dxa" w:w="3360"/>
            <w:vAlign w:val="center"/>
          </w:tcPr>
          <w:p>
            <w:r>
              <w:t>Textual</w:t>
            </w:r>
          </w:p>
        </w:tc>
        <w:tc>
          <w:tcPr>
            <w:tcW w:type="dxa" w:w="3360"/>
            <w:vAlign w:val="center"/>
          </w:tcPr>
          <w:p>
            <w:r>
              <w:t>SciELO — 2 diretrizes cardiológicas</w:t>
            </w:r>
          </w:p>
        </w:tc>
        <w:tc>
          <w:tcPr>
            <w:tcW w:type="dxa" w:w="3360"/>
            <w:vAlign w:val="center"/>
          </w:tcPr>
          <w:p>
            <w:r>
              <w:t>2 arquivos TXT preparados para NLP</w:t>
            </w:r>
          </w:p>
        </w:tc>
      </w:tr>
      <w:tr>
        <w:tc>
          <w:tcPr>
            <w:tcW w:type="dxa" w:w="3360"/>
            <w:vAlign w:val="center"/>
          </w:tcPr>
          <w:p>
            <w:r>
              <w:t>Visual</w:t>
            </w:r>
          </w:p>
        </w:tc>
        <w:tc>
          <w:tcPr>
            <w:tcW w:type="dxa" w:w="3360"/>
            <w:vAlign w:val="center"/>
          </w:tcPr>
          <w:p>
            <w:r>
              <w:t>Kaggle — ECG ROI Segmentation Dataset</w:t>
            </w:r>
          </w:p>
        </w:tc>
        <w:tc>
          <w:tcPr>
            <w:tcW w:type="dxa" w:w="3360"/>
            <w:vAlign w:val="center"/>
          </w:tcPr>
          <w:p>
            <w:r>
              <w:t>Fonte e manifesto documentados; conjunto completo permanece no Kaggle</w:t>
            </w:r>
          </w:p>
        </w:tc>
      </w:tr>
    </w:tbl>
    <w:p>
      <w:pPr>
        <w:pStyle w:val="Heading1"/>
      </w:pPr>
      <w:r>
        <w:t>2. Dados Numéricos</w:t>
      </w:r>
    </w:p>
    <w:p>
      <w:r>
        <w:t>A base selecionada no Kaggle reúne 70.000 registros de pacientes, com variáveis demográficas, de exame, comportamentais e um alvo que indica presença ou ausência de doença cardiovascular. Para a atividade foi preparada uma amostra de 100 registros, além de uma versão com idade em anos, sexo decodificado, IMC e dicionário de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2C83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5040"/>
            <w:shd w:fill="5B2C83"/>
          </w:tcPr>
          <w:p>
            <w:r>
              <w:rPr>
                <w:b/>
                <w:color w:val="FFFFFF"/>
              </w:rPr>
              <w:t>Exemplos de variáveis</w:t>
            </w:r>
          </w:p>
        </w:tc>
      </w:tr>
      <w:tr>
        <w:tc>
          <w:tcPr>
            <w:tcW w:type="dxa" w:w="5040"/>
            <w:vAlign w:val="center"/>
          </w:tcPr>
          <w:p>
            <w:r>
              <w:t>Objetivas</w:t>
            </w:r>
          </w:p>
        </w:tc>
        <w:tc>
          <w:tcPr>
            <w:tcW w:type="dxa" w:w="5040"/>
            <w:vAlign w:val="center"/>
          </w:tcPr>
          <w:p>
            <w:r>
              <w:t>idade, sexo, altura, peso</w:t>
            </w:r>
          </w:p>
        </w:tc>
      </w:tr>
      <w:tr>
        <w:tc>
          <w:tcPr>
            <w:tcW w:type="dxa" w:w="5040"/>
            <w:vAlign w:val="center"/>
          </w:tcPr>
          <w:p>
            <w:r>
              <w:t>Exames</w:t>
            </w:r>
          </w:p>
        </w:tc>
        <w:tc>
          <w:tcPr>
            <w:tcW w:type="dxa" w:w="5040"/>
            <w:vAlign w:val="center"/>
          </w:tcPr>
          <w:p>
            <w:r>
              <w:t>pressão sistólica, pressão diastólica, colesterol, glicose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Comportamentais</w:t>
            </w:r>
          </w:p>
        </w:tc>
        <w:tc>
          <w:tcPr>
            <w:tcW w:type="dxa" w:w="5040"/>
            <w:vAlign w:val="center"/>
          </w:tcPr>
          <w:p>
            <w:r>
              <w:t>tabagismo, álcool, atividade física</w:t>
            </w:r>
          </w:p>
        </w:tc>
      </w:tr>
      <w:tr>
        <w:tc>
          <w:tcPr>
            <w:tcW w:type="dxa" w:w="5040"/>
            <w:vAlign w:val="center"/>
          </w:tcPr>
          <w:p>
            <w:r>
              <w:t>Alvo</w:t>
            </w:r>
          </w:p>
        </w:tc>
        <w:tc>
          <w:tcPr>
            <w:tcW w:type="dxa" w:w="5040"/>
            <w:vAlign w:val="center"/>
          </w:tcPr>
          <w:p>
            <w:r>
              <w:t>presença/ausência de doença cardiovascular</w:t>
            </w:r>
          </w:p>
        </w:tc>
      </w:tr>
    </w:tbl>
    <w:p>
      <w:r>
        <w:t>Aplicações futuras: classificação supervisionada, análise exploratória, clusterização de perfis e detecção de inconsistências. Ponto de atenção: a licença é exibida no Kaggle como “Unknown”, e a base requer validação de outliers antes de modelagem.</w:t>
      </w:r>
    </w:p>
    <w:p>
      <w:r>
        <w:br w:type="page"/>
      </w:r>
    </w:p>
    <w:p>
      <w:pPr>
        <w:pStyle w:val="Heading1"/>
      </w:pPr>
      <w:r>
        <w:t>3. Dados Textuais para NLP</w:t>
      </w:r>
    </w:p>
    <w:p>
      <w:r>
        <w:t>Foram selecionadas duas diretrizes de acesso aberto no SciELO: Diretrizes Brasileiras de Hipertensão Arterial – 2020 e Diretriz de Síndrome Coronariana Crônica – 2025. Os arquivos TXT locais são corpora resumidos e parafraseados, enquanto as versões integrais permanecem referenciadas nos links oficiais.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2C83"/>
          </w:tcPr>
          <w:p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5040"/>
            <w:shd w:fill="5B2C83"/>
          </w:tcPr>
          <w:p>
            <w:r>
              <w:rPr>
                <w:b/>
                <w:color w:val="FFFFFF"/>
              </w:rPr>
              <w:t>Possibilidades de NLP</w:t>
            </w:r>
          </w:p>
        </w:tc>
      </w:tr>
      <w:tr>
        <w:tc>
          <w:tcPr>
            <w:tcW w:type="dxa" w:w="5040"/>
            <w:vAlign w:val="center"/>
          </w:tcPr>
          <w:p>
            <w:r>
              <w:t>Hipertensão arterial</w:t>
            </w:r>
          </w:p>
        </w:tc>
        <w:tc>
          <w:tcPr>
            <w:tcW w:type="dxa" w:w="5040"/>
            <w:vAlign w:val="center"/>
          </w:tcPr>
          <w:p>
            <w:r>
              <w:t>entidades clínicas, fatores de risco, tópicos, busca semântica</w:t>
            </w:r>
          </w:p>
        </w:tc>
      </w:tr>
      <w:tr>
        <w:tc>
          <w:tcPr>
            <w:tcW w:type="dxa" w:w="5040"/>
            <w:vAlign w:val="center"/>
          </w:tcPr>
          <w:p>
            <w:r>
              <w:t>Síndrome coronariana crônica</w:t>
            </w:r>
          </w:p>
        </w:tc>
        <w:tc>
          <w:tcPr>
            <w:tcW w:type="dxa" w:w="5040"/>
            <w:vAlign w:val="center"/>
          </w:tcPr>
          <w:p>
            <w:r>
              <w:t>extração de sintomas, classificação de queixas, exames e fatores de risco</w:t>
            </w:r>
          </w:p>
        </w:tc>
      </w:tr>
    </w:tbl>
    <w:p>
      <w:r>
        <w:t>Esses textos permitem explorar reconhecimento de entidades, extração de sintomas, classificação de tópicos, sumarização, busca semântica e sistemas conversacionais fundamentados em fonte controlada.</w:t>
      </w:r>
    </w:p>
    <w:p>
      <w:pPr>
        <w:pStyle w:val="Heading1"/>
      </w:pPr>
      <w:r>
        <w:t>4. Dados Visuais para Visão Computacional</w:t>
      </w:r>
    </w:p>
    <w:p>
      <w:r>
        <w:t>A base visual selecionada é o ECG ROI Segmentation Dataset, no Kaggle. O objetivo da atividade é trabalhar com pelo menos 100 imagens de ECG. O conjunto pode ser explorado para segmentação de ROI, pré-processamento, detecção de linhas/bordas, extração de características e reconhecimento de padrões.</w:t>
      </w:r>
    </w:p>
    <w:p>
      <w:r>
        <w:t>Antes da submissão final, o grupo deve conferir no Data Card do Kaggle a quantidade e os formatos de imagem, licença, origem real/sintética, classes e presença de identificadores de pacientes. Esses itens foram mantidos como pendências explícitas para não inventar metadados que não puderam ser confirmados.</w:t>
      </w:r>
    </w:p>
    <w:p>
      <w:pPr>
        <w:pStyle w:val="Heading1"/>
      </w:pPr>
      <w:r>
        <w:t>5. Governança, Qualidade e Viés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2C83"/>
          </w:tcPr>
          <w:p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5040"/>
            <w:shd w:fill="5B2C83"/>
          </w:tcPr>
          <w:p>
            <w:r>
              <w:rPr>
                <w:b/>
                <w:color w:val="FFFFFF"/>
              </w:rPr>
              <w:t>Ação recomendada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Proveniência</w:t>
            </w:r>
          </w:p>
        </w:tc>
        <w:tc>
          <w:tcPr>
            <w:tcW w:type="dxa" w:w="5040"/>
            <w:vAlign w:val="center"/>
          </w:tcPr>
          <w:p>
            <w:r>
              <w:t>registrar URL, fonte, versão e transformações</w:t>
            </w:r>
          </w:p>
        </w:tc>
      </w:tr>
      <w:tr>
        <w:tc>
          <w:tcPr>
            <w:tcW w:type="dxa" w:w="5040"/>
            <w:vAlign w:val="center"/>
          </w:tcPr>
          <w:p>
            <w:r>
              <w:t>Outliers/erros</w:t>
            </w:r>
          </w:p>
        </w:tc>
        <w:tc>
          <w:tcPr>
            <w:tcW w:type="dxa" w:w="5040"/>
            <w:vAlign w:val="center"/>
          </w:tcPr>
          <w:p>
            <w:r>
              <w:t>validar faixas fisiológicas e duplicatas antes do ML</w:t>
            </w:r>
          </w:p>
        </w:tc>
      </w:tr>
      <w:tr>
        <w:tc>
          <w:tcPr>
            <w:tcW w:type="dxa" w:w="5040"/>
            <w:vAlign w:val="center"/>
          </w:tcPr>
          <w:p>
            <w:r>
              <w:t>Viés demográfico</w:t>
            </w:r>
          </w:p>
        </w:tc>
        <w:tc>
          <w:tcPr>
            <w:tcW w:type="dxa" w:w="5040"/>
            <w:vAlign w:val="center"/>
          </w:tcPr>
          <w:p>
            <w:r>
              <w:t>avaliar distribuição e desempenho por grupos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Privacidade</w:t>
            </w:r>
          </w:p>
        </w:tc>
        <w:tc>
          <w:tcPr>
            <w:tcW w:type="dxa" w:w="5040"/>
            <w:vAlign w:val="center"/>
          </w:tcPr>
          <w:p>
            <w:r>
              <w:t>verificar metadados e identificadores em imagens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Licenças</w:t>
            </w:r>
          </w:p>
        </w:tc>
        <w:tc>
          <w:tcPr>
            <w:tcW w:type="dxa" w:w="5040"/>
            <w:vAlign w:val="center"/>
          </w:tcPr>
          <w:p>
            <w:r>
              <w:t>respeitar os termos de cada fonte externa</w:t>
            </w:r>
          </w:p>
        </w:tc>
      </w:tr>
      <w:tr>
        <w:tc>
          <w:tcPr>
            <w:tcW w:type="dxa" w:w="5040"/>
            <w:vAlign w:val="center"/>
          </w:tcPr>
          <w:p>
            <w:r>
              <w:t>Uso clínico indevido</w:t>
            </w:r>
          </w:p>
        </w:tc>
        <w:tc>
          <w:tcPr>
            <w:tcW w:type="dxa" w:w="5040"/>
            <w:vAlign w:val="center"/>
          </w:tcPr>
          <w:p>
            <w:r>
              <w:t>manter caráter acadêmico e supervisão humana</w:t>
            </w:r>
          </w:p>
        </w:tc>
      </w:tr>
    </w:tbl>
    <w:p>
      <w:pPr>
        <w:pStyle w:val="Heading1"/>
      </w:pPr>
      <w:r>
        <w:t>6. Arquivos Entregues</w:t>
      </w:r>
    </w:p>
    <w:p>
      <w:pPr>
        <w:pStyle w:val="ListBullet"/>
      </w:pPr>
      <w:r>
        <w:t>README.md no padrão FIAP, com integrantes, tutor, descrição das três partes e links públicos.</w:t>
      </w:r>
    </w:p>
    <w:p>
      <w:pPr>
        <w:pStyle w:val="ListBullet"/>
      </w:pPr>
      <w:r>
        <w:t>Dataset numérico em CSV original/amostra, CSV preparado, XLSX e dicionário de dados.</w:t>
      </w:r>
    </w:p>
    <w:p>
      <w:pPr>
        <w:pStyle w:val="ListBullet"/>
      </w:pPr>
      <w:r>
        <w:t>Dois arquivos TXT para NLP baseados nas fontes SciELO.</w:t>
      </w:r>
    </w:p>
    <w:p>
      <w:pPr>
        <w:pStyle w:val="ListBullet"/>
      </w:pPr>
      <w:r>
        <w:t>Manifesto e documentação da base visual de ECG.</w:t>
      </w:r>
    </w:p>
    <w:p>
      <w:pPr>
        <w:pStyle w:val="ListBullet"/>
      </w:pPr>
      <w:r>
        <w:t>FONTES_E_GOVERNANCA.md, CHECKLIST_ENTREGA.md e guia de publicação no GitHub.</w:t>
      </w:r>
    </w:p>
    <w:p>
      <w:pPr>
        <w:pStyle w:val="Heading1"/>
      </w:pPr>
      <w:r>
        <w:t>7. Links das Fontes</w:t>
      </w:r>
    </w:p>
    <w:p>
      <w:r>
        <w:t>Dados numéricos: https://www.kaggle.com/datasets/sulianova/cardiovascular-disease-dataset</w:t>
      </w:r>
    </w:p>
    <w:p>
      <w:r>
        <w:t>Texto 1: https://www.scielo.br/j/abc/a/Z6m5gGNQCvrW3WLV7csqbqh/?lang=pt</w:t>
      </w:r>
    </w:p>
    <w:p>
      <w:r>
        <w:t>Texto 2: https://www.scielo.br/j/abc/a/GKTmBKCfKXHmSdYCnyJv9PC/?format=html&amp;lang=pt&amp;ilang=en</w:t>
      </w:r>
    </w:p>
    <w:p>
      <w:r>
        <w:t>Imagens ECG: https://www.kaggle.com/datasets/gowrishankarp/ecg-dataset-cropped</w:t>
      </w:r>
    </w:p>
    <w:p>
      <w:pPr>
        <w:jc w:val="center"/>
      </w:pPr>
      <w:r>
        <w:rPr>
          <w:b/>
          <w:color w:val="9C0006"/>
        </w:rPr>
        <w:t>Uso exclusivamente acadêmico — não utilizar para decisões clínicas.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C8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2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2C8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