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i w:val="0"/>
          <w:color w:val="1F4E78"/>
          <w:sz w:val="40"/>
        </w:rPr>
        <w:t>Third-Party Engagement Context</w:t>
      </w:r>
    </w:p>
    <w:p>
      <w:pPr>
        <w:spacing w:after="360"/>
        <w:jc w:val="center"/>
      </w:pPr>
      <w:r>
        <w:rPr>
          <w:rFonts w:ascii="Arial" w:hAnsi="Arial" w:eastAsia="Arial"/>
          <w:b w:val="0"/>
          <w:i w:val="0"/>
          <w:color w:val="404040"/>
          <w:sz w:val="28"/>
        </w:rPr>
        <w:t>CloudNimbus Financial Cloud Services Ltd.</w:t>
      </w:r>
    </w:p>
    <w:p>
      <w:pPr>
        <w:spacing w:after="360"/>
        <w:jc w:val="center"/>
      </w:pPr>
      <w:r>
        <w:rPr>
          <w:rFonts w:ascii="Arial" w:hAnsi="Arial" w:eastAsia="Arial"/>
          <w:b w:val="0"/>
          <w:i/>
          <w:color w:val="595959"/>
          <w:sz w:val="20"/>
        </w:rPr>
        <w:t>Aurora Investment Bank plc - Cyber Third-Party Risk Management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Vendor record ID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TPV-2026-001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Engagement code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CLOUDNIMBUS-AB-2015-001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Service category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Cloud Infrastructure (IaaS / PaaS)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Criticality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Tier 1 - 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Data classification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Highly Confidential / Material Non-Public Information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Annual contract value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£18.7m annual contract value, 5-year MSA, tier-1 strategic supplier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Data volume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~480 TB hot, 6.2 PB cold; ~38B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Geography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Primary: London (LON1, LON3); DR: Frankfurt (FRA2). Data residency: EEA only.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1. Vendor Profile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CloudNimbus provides FCA/PRA-aligned managed cloud infrastructure (IaaS and PaaS) hosting Aurora Investment Bank's electronic trading platform, derivatives pricing engine, intraday risk engine and Murex sub-ledger. The service includes dedicated tenancy compute, block and object storage, dedicated network fabrics, managed Kubernetes (CNK), managed Postgres and Kafka, hardware-backed key management (FIPS 140-2 Level 3 HSMs), and 24x7 L1/L2 operations with embedded SRE squads.</w:t>
      </w:r>
    </w:p>
    <w:p>
      <w:pPr>
        <w:keepNext/>
        <w:spacing w:before="120" w:after="40"/>
      </w:pPr>
      <w:r>
        <w:rPr>
          <w:rFonts w:ascii="Arial" w:hAnsi="Arial" w:eastAsia="Arial"/>
          <w:b/>
          <w:i w:val="0"/>
          <w:color w:val="404040"/>
          <w:sz w:val="22"/>
        </w:rPr>
        <w:t>Corporate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Legal name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CloudNimbus Financial Cloud Services Ltd.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Headquarters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London, United Kingdom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Incorporation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Companies House #08231094, England &amp; Wales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Founded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2015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Headcount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~1,400 FTEs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Website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https://www.cloudnimbus.example.com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2. Service in Scope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CloudNimbus provides FCA/PRA-aligned managed cloud infrastructure (IaaS and PaaS) hosting Aurora Investment Bank's electronic trading platform, derivatives pricing engine, intraday risk engine and Murex sub-ledger. The service includes dedicated tenancy compute, block and object storage, dedicated network fabrics, managed Kubernetes (CNK), managed Postgres and Kafka, hardware-backed key management (FIPS 140-2 Level 3 HSMs), and 24x7 L1/L2 operations with embedded SRE squads.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3. Data Exchanged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Real-time market data and order book snapshots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Trade execution, allocation and settlement records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Client position and exposure data (institutional only)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Internal pricing models and proprietary algorithms (IP)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Operational telemetry, security logs, system metrics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4. Connectivity to Aurora Investment Bank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Two redundant 10 Gbps private network circuits (Equinix Cross-Connect, no internet path)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Mutual TLS API plane with FIDO2 + workload identity for SRE access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Dedicated SSO with the bank's Azure Entra ID via SAML 2.0 + SCIM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Out-of-band management bastion (privileged access via PAM, session recorded)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SFTP file gateway for batch reconciliations (S/MIME signed payloads)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5. Sub-processors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The following sub-processors support the service: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>Entity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>Service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>Location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Equinix UK Ltd.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Co-location + Cross-Connect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United Kingdom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Cloudflare Inc.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DDoS / WAF (control plane only)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United States (DPF certified)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PagerDuty Inc.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Operational alerting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United States (DPF certified)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Tessian Ltd.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Secure email gateway (corporate, non-customer-data)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United Kingdom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Datadog APM Pte. Ltd.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Application performance monitoring (telemetry)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Singapore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6. Certifications and Attestations Provided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Standard / Report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Issuing Body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Reference / ID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Issued / Period Start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Expiry / Period End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ISO/IEC 27001:2022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BSI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IS 651209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2024-08-12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2027-08-11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ISO/IEC 27017:2015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BSI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IS 651210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2024-08-12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2027-08-11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ISO/IEC 27018:2019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BSI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IS 651211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2024-08-12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2027-08-11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PCI DSS v4.0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Coalfire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QSAC-2024-0918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2024-09-30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2026-09-29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SOC 1 Type II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KPMG LLP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SOC1-2025-CN-EU-01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2025-04-30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Annual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SOC 2 Type II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KPMG LLP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SOC2-2025-CN-EU-01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2025-04-30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Annual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7. Inherent Risk Assessment Inputs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Service criticality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Tier 1 - 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Data classification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Highly Confidential / Material Non-Public Information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Geographic data flow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Primary: London (LON1, LON3); DR: Frankfurt (FRA2). Data residency: EEA only.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Sub-processor concentration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5 disclosed sub-processors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Connectivity model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Multi-channel (see section 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Operating maturity (vendor self-asserted)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Very High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/>
          <w:i w:val="0"/>
          <w:color w:val="1F4E78"/>
          <w:sz w:val="22"/>
        </w:rPr>
        <w:t>&lt;&lt;Vendor inherent risk pre-mitigation&gt;&gt;: Very High</w:t>
      </w:r>
    </w:p>
    <w:p>
      <w:pPr>
        <w:spacing w:after="120"/>
      </w:pPr>
      <w:r>
        <w:rPr>
          <w:rFonts w:ascii="Arial" w:hAnsi="Arial" w:eastAsia="Arial"/>
          <w:b/>
          <w:i w:val="0"/>
          <w:color w:val="1F4E78"/>
          <w:sz w:val="22"/>
        </w:rPr>
        <w:t>&lt;&lt;Vendor residual risk after evidenced controls&gt;&gt;: Moderate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