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 w:eastAsia="Arial"/>
          <w:b/>
          <w:i w:val="0"/>
          <w:color w:val="1F4E78"/>
          <w:sz w:val="40"/>
        </w:rPr>
        <w:t>BUSINESS CONTINUITY AND DISASTER RECOVERY POLICY</w:t>
      </w:r>
    </w:p>
    <w:p>
      <w:pPr>
        <w:spacing w:after="360"/>
        <w:jc w:val="center"/>
      </w:pPr>
      <w:r>
        <w:rPr>
          <w:rFonts w:ascii="Arial" w:hAnsi="Arial" w:eastAsia="Arial"/>
          <w:b w:val="0"/>
          <w:i w:val="0"/>
          <w:color w:val="404040"/>
          <w:sz w:val="26"/>
        </w:rPr>
        <w:t>QuantEdge Analytics Inc.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Document classification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INTERNAL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Version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v2.5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Effective date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2025-06-21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Owner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Head of Operational Resilience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Last test date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2025-11-19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Last test type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Tabletop walkthrough with regional failover simulation (no live cutover)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Arial"/>
                <w:b/>
                <w:i w:val="0"/>
                <w:sz w:val="22"/>
              </w:rPr>
              <w:t>Recovery objectives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 w:eastAsia="Arial"/>
                <w:b w:val="0"/>
                <w:i w:val="0"/>
                <w:sz w:val="22"/>
              </w:rPr>
              <w:t>RTO 4 hours, RPO 1 hour for production analytics tier</w:t>
            </w:r>
          </w:p>
        </w:tc>
      </w:tr>
    </w:tbl>
    <w:p/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1. Purpose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This Business Continuity and Disaster Recovery Policy ('the BCP/DR Policy') establishes the principles, recovery objectives and tested capabilities for QuantEdge Analytics Inc. to resume critical operations following an operational disruption.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2. Scope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The BCP/DR Policy applies to all production services and supporting corporate functions.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3. Recovery Objectives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RTO 4 hours, RPO 1 hour for production analytics tier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4. Roles and Responsibilities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The Head of Operational Resilience owns the BCP. Service Owners are accountable for tier-specific recovery plans. The CISO is accountable for cyber-resilience scenarios.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5. Strategy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Production runs primarily in us-east-1 with warm-standby replicas in us-west-2. Failover is rehearsed via tabletop exercises annually; live failover was last executed in August 2024.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6. Backup and Recovery</w:t>
      </w:r>
    </w:p>
    <w:p>
      <w:pPr>
        <w:keepNext/>
        <w:spacing w:before="120" w:after="40"/>
      </w:pPr>
      <w:r>
        <w:rPr>
          <w:rFonts w:ascii="Arial" w:hAnsi="Arial" w:eastAsia="Arial"/>
          <w:b/>
          <w:i w:val="0"/>
          <w:color w:val="404040"/>
          <w:sz w:val="22"/>
        </w:rPr>
        <w:t>6.2 Restore Testing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Restore tests shall be performed at least semi-annually. Last successful restore test recorded: 2024-12-11. Programme of restore-test rehabilitation in progress.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7. Test Programme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Last test: 2025-11-19 (Tabletop walkthrough with regional failover simulation (no live cutover)).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Test history (most recent first): 2025-11-19 - Tabletop walkthrough; 2024-08-14 - Live regional failover (us-east-1 to us-west-2); 2024-02-22 - Tabletop walkthrough.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8. Cyber-Specific Disruption Scenarios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Cyber-disruption scenarios are exercised separately from natural-disaster scenarios. Scenarios cover ransomware, malicious insider, third-party compromise, supply-chain attack and DDoS.</w:t>
      </w:r>
    </w:p>
    <w:p>
      <w:pPr>
        <w:keepNext/>
        <w:spacing w:before="240" w:after="120"/>
      </w:pPr>
      <w:r>
        <w:rPr>
          <w:rFonts w:ascii="Arial" w:hAnsi="Arial" w:eastAsia="Arial"/>
          <w:b/>
          <w:i w:val="0"/>
          <w:color w:val="1F4E78"/>
          <w:sz w:val="32"/>
        </w:rPr>
        <w:t>9. Document Control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Document approved by: VP Engineering &amp; Acting CISO, Daniel Kowalski.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Document version: v2.5.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Next review: 2026-06-21.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