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Arial" w:hAnsi="Arial" w:eastAsia="Arial"/>
          <w:b/>
          <w:i w:val="0"/>
          <w:color w:val="1F4E78"/>
          <w:sz w:val="40"/>
        </w:rPr>
        <w:t>Third-Party Engagement Context</w:t>
      </w:r>
    </w:p>
    <w:p>
      <w:pPr>
        <w:spacing w:after="360"/>
        <w:jc w:val="center"/>
      </w:pPr>
      <w:r>
        <w:rPr>
          <w:rFonts w:ascii="Arial" w:hAnsi="Arial" w:eastAsia="Arial"/>
          <w:b w:val="0"/>
          <w:i w:val="0"/>
          <w:color w:val="404040"/>
          <w:sz w:val="28"/>
        </w:rPr>
        <w:t>QuantEdge Analytics Inc.</w:t>
      </w:r>
    </w:p>
    <w:p>
      <w:pPr>
        <w:spacing w:after="360"/>
        <w:jc w:val="center"/>
      </w:pPr>
      <w:r>
        <w:rPr>
          <w:rFonts w:ascii="Arial" w:hAnsi="Arial" w:eastAsia="Arial"/>
          <w:b w:val="0"/>
          <w:i/>
          <w:color w:val="595959"/>
          <w:sz w:val="20"/>
        </w:rPr>
        <w:t>Aurora Investment Bank plc - Cyber Third-Party Risk Management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</w:tcPr>
          <w:p>
            <w:r/>
            <w:r>
              <w:rPr>
                <w:rFonts w:ascii="Arial" w:hAnsi="Arial" w:eastAsia="Arial"/>
                <w:b/>
                <w:i w:val="0"/>
                <w:sz w:val="22"/>
              </w:rPr>
              <w:t>Vendor record ID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 w:eastAsia="Arial"/>
                <w:b w:val="0"/>
                <w:i w:val="0"/>
                <w:sz w:val="22"/>
              </w:rPr>
              <w:t>TPV-2026-002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Arial"/>
                <w:b/>
                <w:i w:val="0"/>
                <w:sz w:val="22"/>
              </w:rPr>
              <w:t>Engagement code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 w:eastAsia="Arial"/>
                <w:b w:val="0"/>
                <w:i w:val="0"/>
                <w:sz w:val="22"/>
              </w:rPr>
              <w:t>QUANTEDGE-AB-2018-001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Arial"/>
                <w:b/>
                <w:i w:val="0"/>
                <w:sz w:val="22"/>
              </w:rPr>
              <w:t>Service category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 w:eastAsia="Arial"/>
                <w:b w:val="0"/>
                <w:i w:val="0"/>
                <w:sz w:val="22"/>
              </w:rPr>
              <w:t>SaaS - Trading Analytics &amp; Risk Modeling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Arial"/>
                <w:b/>
                <w:i w:val="0"/>
                <w:sz w:val="22"/>
              </w:rPr>
              <w:t>Criticality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 w:eastAsia="Arial"/>
                <w:b w:val="0"/>
                <w:i w:val="0"/>
                <w:sz w:val="22"/>
              </w:rPr>
              <w:t>Tier 2 - Important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Arial"/>
                <w:b/>
                <w:i w:val="0"/>
                <w:sz w:val="22"/>
              </w:rPr>
              <w:t>Data classification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 w:eastAsia="Arial"/>
                <w:b w:val="0"/>
                <w:i w:val="0"/>
                <w:sz w:val="22"/>
              </w:rPr>
              <w:t>Confidential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Arial"/>
                <w:b/>
                <w:i w:val="0"/>
                <w:sz w:val="22"/>
              </w:rPr>
              <w:t>Annual contract value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 w:eastAsia="Arial"/>
                <w:b w:val="0"/>
                <w:i w:val="0"/>
                <w:sz w:val="22"/>
              </w:rPr>
              <w:t>$2.4m annual subscription, 3-year SaaS agreement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Arial"/>
                <w:b/>
                <w:i w:val="0"/>
                <w:sz w:val="22"/>
              </w:rPr>
              <w:t>Data volume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 w:eastAsia="Arial"/>
                <w:b w:val="0"/>
                <w:i w:val="0"/>
                <w:sz w:val="22"/>
              </w:rPr>
              <w:t>~14 TB total, ~3.5B records (positions, ticks, model outputs)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Arial"/>
                <w:b/>
                <w:i w:val="0"/>
                <w:sz w:val="22"/>
              </w:rPr>
              <w:t>Geography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 w:eastAsia="Arial"/>
                <w:b w:val="0"/>
                <w:i w:val="0"/>
                <w:sz w:val="22"/>
              </w:rPr>
              <w:t>Primary: us-east-1; DR: us-west-2. Data residency: US.</w:t>
            </w:r>
          </w:p>
        </w:tc>
      </w:tr>
    </w:tbl>
    <w:p/>
    <w:p>
      <w:pPr>
        <w:keepNext/>
        <w:spacing w:before="240" w:after="120"/>
      </w:pPr>
      <w:r>
        <w:rPr>
          <w:rFonts w:ascii="Arial" w:hAnsi="Arial" w:eastAsia="Arial"/>
          <w:b/>
          <w:i w:val="0"/>
          <w:color w:val="1F4E78"/>
          <w:sz w:val="32"/>
        </w:rPr>
        <w:t>1. Vendor Profile</w:t>
      </w: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QuantEdge provides a multi-tenant SaaS platform for systematic strategy backtesting, real-time portfolio analytics, factor risk decomposition and Greeks calculation. The platform is consumed by Aurora's Equity Quant Strategies desk and the Cross-Asset Risk team. Models are configured by Aurora's quants and parameters, positions and trade history are uploaded daily.</w:t>
      </w:r>
    </w:p>
    <w:p>
      <w:pPr>
        <w:keepNext/>
        <w:spacing w:before="120" w:after="40"/>
      </w:pPr>
      <w:r>
        <w:rPr>
          <w:rFonts w:ascii="Arial" w:hAnsi="Arial" w:eastAsia="Arial"/>
          <w:b/>
          <w:i w:val="0"/>
          <w:color w:val="404040"/>
          <w:sz w:val="22"/>
        </w:rPr>
        <w:t>Corporate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</w:tcPr>
          <w:p>
            <w:r/>
            <w:r>
              <w:rPr>
                <w:rFonts w:ascii="Arial" w:hAnsi="Arial" w:eastAsia="Arial"/>
                <w:b/>
                <w:i w:val="0"/>
                <w:sz w:val="22"/>
              </w:rPr>
              <w:t>Legal name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 w:eastAsia="Arial"/>
                <w:b w:val="0"/>
                <w:i w:val="0"/>
                <w:sz w:val="22"/>
              </w:rPr>
              <w:t>QuantEdge Analytics Inc.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Arial"/>
                <w:b/>
                <w:i w:val="0"/>
                <w:sz w:val="22"/>
              </w:rPr>
              <w:t>Headquarters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 w:eastAsia="Arial"/>
                <w:b w:val="0"/>
                <w:i w:val="0"/>
                <w:sz w:val="22"/>
              </w:rPr>
              <w:t>New York, NY, USA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Arial"/>
                <w:b/>
                <w:i w:val="0"/>
                <w:sz w:val="22"/>
              </w:rPr>
              <w:t>Incorporation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 w:eastAsia="Arial"/>
                <w:b w:val="0"/>
                <w:i w:val="0"/>
                <w:sz w:val="22"/>
              </w:rPr>
              <w:t>Delaware Corp. #5891422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Arial"/>
                <w:b/>
                <w:i w:val="0"/>
                <w:sz w:val="22"/>
              </w:rPr>
              <w:t>Founded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 w:eastAsia="Arial"/>
                <w:b w:val="0"/>
                <w:i w:val="0"/>
                <w:sz w:val="22"/>
              </w:rPr>
              <w:t>2018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Arial"/>
                <w:b/>
                <w:i w:val="0"/>
                <w:sz w:val="22"/>
              </w:rPr>
              <w:t>Headcount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 w:eastAsia="Arial"/>
                <w:b w:val="0"/>
                <w:i w:val="0"/>
                <w:sz w:val="22"/>
              </w:rPr>
              <w:t>~310 FTEs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Arial"/>
                <w:b/>
                <w:i w:val="0"/>
                <w:sz w:val="22"/>
              </w:rPr>
              <w:t>Website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 w:eastAsia="Arial"/>
                <w:b w:val="0"/>
                <w:i w:val="0"/>
                <w:sz w:val="22"/>
              </w:rPr>
              <w:t>https://www.quantedge.example.com</w:t>
            </w:r>
          </w:p>
        </w:tc>
      </w:tr>
    </w:tbl>
    <w:p/>
    <w:p>
      <w:pPr>
        <w:keepNext/>
        <w:spacing w:before="240" w:after="120"/>
      </w:pPr>
      <w:r>
        <w:rPr>
          <w:rFonts w:ascii="Arial" w:hAnsi="Arial" w:eastAsia="Arial"/>
          <w:b/>
          <w:i w:val="0"/>
          <w:color w:val="1F4E78"/>
          <w:sz w:val="32"/>
        </w:rPr>
        <w:t>2. Service in Scope</w:t>
      </w: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QuantEdge provides a multi-tenant SaaS platform for systematic strategy backtesting, real-time portfolio analytics, factor risk decomposition and Greeks calculation. The platform is consumed by Aurora's Equity Quant Strategies desk and the Cross-Asset Risk team. Models are configured by Aurora's quants and parameters, positions and trade history are uploaded daily.</w:t>
      </w:r>
    </w:p>
    <w:p>
      <w:pPr>
        <w:keepNext/>
        <w:spacing w:before="240" w:after="120"/>
      </w:pPr>
      <w:r>
        <w:rPr>
          <w:rFonts w:ascii="Arial" w:hAnsi="Arial" w:eastAsia="Arial"/>
          <w:b/>
          <w:i w:val="0"/>
          <w:color w:val="1F4E78"/>
          <w:sz w:val="32"/>
        </w:rPr>
        <w:t>3. Data Exchanged</w:t>
      </w:r>
    </w:p>
    <w:p>
      <w:pPr>
        <w:pStyle w:val="ListBullet"/>
      </w:pPr>
      <w:r>
        <w:rPr>
          <w:rFonts w:ascii="Arial" w:hAnsi="Arial" w:eastAsia="Arial"/>
          <w:b w:val="0"/>
          <w:i w:val="0"/>
          <w:sz w:val="22"/>
        </w:rPr>
        <w:t>Daily end-of-day positions and trade history (institutional only, anonymised account IDs)</w:t>
      </w:r>
    </w:p>
    <w:p>
      <w:pPr>
        <w:pStyle w:val="ListBullet"/>
      </w:pPr>
      <w:r>
        <w:rPr>
          <w:rFonts w:ascii="Arial" w:hAnsi="Arial" w:eastAsia="Arial"/>
          <w:b w:val="0"/>
          <w:i w:val="0"/>
          <w:sz w:val="22"/>
        </w:rPr>
        <w:t>Customer-configured strategy parameters and proprietary alpha signals (IP)</w:t>
      </w:r>
    </w:p>
    <w:p>
      <w:pPr>
        <w:pStyle w:val="ListBullet"/>
      </w:pPr>
      <w:r>
        <w:rPr>
          <w:rFonts w:ascii="Arial" w:hAnsi="Arial" w:eastAsia="Arial"/>
          <w:b w:val="0"/>
          <w:i w:val="0"/>
          <w:sz w:val="22"/>
        </w:rPr>
        <w:t>Benchmark and reference data feeds (licensed third-party)</w:t>
      </w:r>
    </w:p>
    <w:p>
      <w:pPr>
        <w:pStyle w:val="ListBullet"/>
      </w:pPr>
      <w:r>
        <w:rPr>
          <w:rFonts w:ascii="Arial" w:hAnsi="Arial" w:eastAsia="Arial"/>
          <w:b w:val="0"/>
          <w:i w:val="0"/>
          <w:sz w:val="22"/>
        </w:rPr>
        <w:t>User identity claims via SSO (no PII beyond email/UPN)</w:t>
      </w:r>
    </w:p>
    <w:p>
      <w:pPr>
        <w:keepNext/>
        <w:spacing w:before="240" w:after="120"/>
      </w:pPr>
      <w:r>
        <w:rPr>
          <w:rFonts w:ascii="Arial" w:hAnsi="Arial" w:eastAsia="Arial"/>
          <w:b/>
          <w:i w:val="0"/>
          <w:color w:val="1F4E78"/>
          <w:sz w:val="32"/>
        </w:rPr>
        <w:t>4. Connectivity to Aurora Investment Bank</w:t>
      </w:r>
    </w:p>
    <w:p>
      <w:pPr>
        <w:pStyle w:val="ListBullet"/>
      </w:pPr>
      <w:r>
        <w:rPr>
          <w:rFonts w:ascii="Arial" w:hAnsi="Arial" w:eastAsia="Arial"/>
          <w:b w:val="0"/>
          <w:i w:val="0"/>
          <w:sz w:val="22"/>
        </w:rPr>
        <w:t>HTTPS REST/GraphQL API (mTLS optional, primarily token-based with short-lived JWTs)</w:t>
      </w:r>
    </w:p>
    <w:p>
      <w:pPr>
        <w:pStyle w:val="ListBullet"/>
      </w:pPr>
      <w:r>
        <w:rPr>
          <w:rFonts w:ascii="Arial" w:hAnsi="Arial" w:eastAsia="Arial"/>
          <w:b w:val="0"/>
          <w:i w:val="0"/>
          <w:sz w:val="22"/>
        </w:rPr>
        <w:t>SAML 2.0 SSO via Azure Entra ID (with SCIM provisioning)</w:t>
      </w:r>
    </w:p>
    <w:p>
      <w:pPr>
        <w:pStyle w:val="ListBullet"/>
      </w:pPr>
      <w:r>
        <w:rPr>
          <w:rFonts w:ascii="Arial" w:hAnsi="Arial" w:eastAsia="Arial"/>
          <w:b w:val="0"/>
          <w:i w:val="0"/>
          <w:sz w:val="22"/>
        </w:rPr>
        <w:t>Daily SFTP feed for bulk position uploads</w:t>
      </w:r>
    </w:p>
    <w:p>
      <w:pPr>
        <w:pStyle w:val="ListBullet"/>
      </w:pPr>
      <w:r>
        <w:rPr>
          <w:rFonts w:ascii="Arial" w:hAnsi="Arial" w:eastAsia="Arial"/>
          <w:b w:val="0"/>
          <w:i w:val="0"/>
          <w:sz w:val="22"/>
        </w:rPr>
        <w:t>WebSocket streaming for intraday analytics</w:t>
      </w:r>
    </w:p>
    <w:p>
      <w:pPr>
        <w:keepNext/>
        <w:spacing w:before="240" w:after="120"/>
      </w:pPr>
      <w:r>
        <w:rPr>
          <w:rFonts w:ascii="Arial" w:hAnsi="Arial" w:eastAsia="Arial"/>
          <w:b/>
          <w:i w:val="0"/>
          <w:color w:val="1F4E78"/>
          <w:sz w:val="32"/>
        </w:rPr>
        <w:t>5. Sub-processors</w:t>
      </w: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The following sub-processors support the service: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Arial" w:hAnsi="Arial" w:eastAsia="Arial"/>
                <w:b/>
                <w:i w:val="0"/>
                <w:color w:val="1F4E78"/>
                <w:sz w:val="22"/>
              </w:rPr>
              <w:t>Entity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 w:eastAsia="Arial"/>
                <w:b/>
                <w:i w:val="0"/>
                <w:color w:val="1F4E78"/>
                <w:sz w:val="22"/>
              </w:rPr>
              <w:t>Service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 w:eastAsia="Arial"/>
                <w:b/>
                <w:i w:val="0"/>
                <w:color w:val="1F4E78"/>
                <w:sz w:val="22"/>
              </w:rPr>
              <w:t>Location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Amazon Web Services Inc.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IaaS hosting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United States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Snowflake Inc.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Analytical data warehouse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United States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Auth0 (Okta Inc.)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Identity provider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United States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Datadog Inc.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Observability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United States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Twilio SendGrid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Transactional email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United States</w:t>
            </w:r>
          </w:p>
        </w:tc>
      </w:tr>
    </w:tbl>
    <w:p/>
    <w:p>
      <w:pPr>
        <w:keepNext/>
        <w:spacing w:before="240" w:after="120"/>
      </w:pPr>
      <w:r>
        <w:rPr>
          <w:rFonts w:ascii="Arial" w:hAnsi="Arial" w:eastAsia="Arial"/>
          <w:b/>
          <w:i w:val="0"/>
          <w:color w:val="1F4E78"/>
          <w:sz w:val="32"/>
        </w:rPr>
        <w:t>6. Certifications and Attestations Provided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  <w:r>
              <w:rPr>
                <w:rFonts w:ascii="Arial" w:hAnsi="Arial" w:eastAsia="Arial"/>
                <w:b/>
                <w:i w:val="0"/>
                <w:color w:val="1F4E78"/>
                <w:sz w:val="20"/>
              </w:rPr>
              <w:t>Standard / Report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 w:eastAsia="Arial"/>
                <w:b/>
                <w:i w:val="0"/>
                <w:color w:val="1F4E78"/>
                <w:sz w:val="20"/>
              </w:rPr>
              <w:t>Issuing Body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 w:eastAsia="Arial"/>
                <w:b/>
                <w:i w:val="0"/>
                <w:color w:val="1F4E78"/>
                <w:sz w:val="20"/>
              </w:rPr>
              <w:t>Reference / ID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 w:eastAsia="Arial"/>
                <w:b/>
                <w:i w:val="0"/>
                <w:color w:val="1F4E78"/>
                <w:sz w:val="20"/>
              </w:rPr>
              <w:t>Issued / Period Start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 w:eastAsia="Arial"/>
                <w:b/>
                <w:i w:val="0"/>
                <w:color w:val="1F4E78"/>
                <w:sz w:val="20"/>
              </w:rPr>
              <w:t>Expiry / Period End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ISO/IEC 27001:2022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Schellman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ISMS-2024-3318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2024-11-04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2027-11-03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SOC 2 Type II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Schellman &amp; Co. LLC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SOC2-QE-2025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2025-09-30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Annual</w:t>
            </w:r>
          </w:p>
        </w:tc>
      </w:tr>
    </w:tbl>
    <w:p/>
    <w:p>
      <w:pPr>
        <w:keepNext/>
        <w:spacing w:before="240" w:after="120"/>
      </w:pPr>
      <w:r>
        <w:rPr>
          <w:rFonts w:ascii="Arial" w:hAnsi="Arial" w:eastAsia="Arial"/>
          <w:b/>
          <w:i w:val="0"/>
          <w:color w:val="1F4E78"/>
          <w:sz w:val="32"/>
        </w:rPr>
        <w:t>7. Inherent Risk Assessment Inputs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</w:tcPr>
          <w:p>
            <w:r/>
            <w:r>
              <w:rPr>
                <w:rFonts w:ascii="Arial" w:hAnsi="Arial" w:eastAsia="Arial"/>
                <w:b/>
                <w:i w:val="0"/>
                <w:sz w:val="22"/>
              </w:rPr>
              <w:t>Service criticality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 w:eastAsia="Arial"/>
                <w:b w:val="0"/>
                <w:i w:val="0"/>
                <w:sz w:val="22"/>
              </w:rPr>
              <w:t>Tier 2 - Important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Arial"/>
                <w:b/>
                <w:i w:val="0"/>
                <w:sz w:val="22"/>
              </w:rPr>
              <w:t>Data classification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 w:eastAsia="Arial"/>
                <w:b w:val="0"/>
                <w:i w:val="0"/>
                <w:sz w:val="22"/>
              </w:rPr>
              <w:t>Confidential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Arial"/>
                <w:b/>
                <w:i w:val="0"/>
                <w:sz w:val="22"/>
              </w:rPr>
              <w:t>Geographic data flow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 w:eastAsia="Arial"/>
                <w:b w:val="0"/>
                <w:i w:val="0"/>
                <w:sz w:val="22"/>
              </w:rPr>
              <w:t>Primary: us-east-1; DR: us-west-2. Data residency: US.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Arial"/>
                <w:b/>
                <w:i w:val="0"/>
                <w:sz w:val="22"/>
              </w:rPr>
              <w:t>Sub-processor concentration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 w:eastAsia="Arial"/>
                <w:b w:val="0"/>
                <w:i w:val="0"/>
                <w:sz w:val="22"/>
              </w:rPr>
              <w:t>5 disclosed sub-processors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Arial"/>
                <w:b/>
                <w:i w:val="0"/>
                <w:sz w:val="22"/>
              </w:rPr>
              <w:t>Connectivity model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 w:eastAsia="Arial"/>
                <w:b w:val="0"/>
                <w:i w:val="0"/>
                <w:sz w:val="22"/>
              </w:rPr>
              <w:t>Multi-channel (see section 4)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Arial"/>
                <w:b/>
                <w:i w:val="0"/>
                <w:sz w:val="22"/>
              </w:rPr>
              <w:t>Operating maturity (vendor self-asserted)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 w:eastAsia="Arial"/>
                <w:b w:val="0"/>
                <w:i w:val="0"/>
                <w:sz w:val="22"/>
              </w:rPr>
              <w:t>High</w:t>
            </w:r>
          </w:p>
        </w:tc>
      </w:tr>
    </w:tbl>
    <w:p/>
    <w:p>
      <w:pPr>
        <w:spacing w:after="120"/>
      </w:pPr>
      <w:r>
        <w:rPr>
          <w:rFonts w:ascii="Arial" w:hAnsi="Arial" w:eastAsia="Arial"/>
          <w:b/>
          <w:i w:val="0"/>
          <w:color w:val="1F4E78"/>
          <w:sz w:val="22"/>
        </w:rPr>
        <w:t>&lt;&lt;Vendor inherent risk pre-mitigation&gt;&gt;: High</w:t>
      </w:r>
    </w:p>
    <w:p>
      <w:pPr>
        <w:spacing w:after="120"/>
      </w:pPr>
      <w:r>
        <w:rPr>
          <w:rFonts w:ascii="Arial" w:hAnsi="Arial" w:eastAsia="Arial"/>
          <w:b/>
          <w:i w:val="0"/>
          <w:color w:val="1F4E78"/>
          <w:sz w:val="22"/>
        </w:rPr>
        <w:t>&lt;&lt;Vendor residual risk after evidenced controls&gt;&gt;: Moderate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