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eastAsia="Arial"/>
          <w:b/>
          <w:i w:val="0"/>
          <w:color w:val="1F4E78"/>
          <w:sz w:val="44"/>
        </w:rPr>
        <w:t>INFORMATION SECURITY POLICY</w:t>
      </w:r>
    </w:p>
    <w:p>
      <w:pPr>
        <w:spacing w:after="360"/>
        <w:jc w:val="center"/>
      </w:pPr>
      <w:r>
        <w:rPr>
          <w:rFonts w:ascii="Arial" w:hAnsi="Arial" w:eastAsia="Arial"/>
          <w:b w:val="0"/>
          <w:i w:val="0"/>
          <w:color w:val="404040"/>
          <w:sz w:val="28"/>
        </w:rPr>
        <w:t>QuantEdge Analytics Inc.</w:t>
      </w:r>
    </w:p>
    <w:tbl>
      <w:tblPr>
        <w:tblStyle w:val="LightGrid-Accent1"/>
        <w:tblW w:type="auto" w:w="0"/>
        <w:tblLayout w:type="fixed"/>
        <w:tblLook w:firstColumn="1" w:firstRow="1" w:lastColumn="0" w:lastRow="0" w:noHBand="0" w:noVBand="1" w:val="04A0"/>
      </w:tblPr>
      <w:tblGrid>
        <w:gridCol w:w="4680"/>
        <w:gridCol w:w="4680"/>
      </w:tblGrid>
      <w:tr>
        <w:tc>
          <w:tcPr>
            <w:tcW w:type="dxa" w:w="2880"/>
          </w:tcPr>
          <w:p>
            <w:r/>
            <w:r>
              <w:rPr>
                <w:rFonts w:ascii="Arial" w:hAnsi="Arial" w:eastAsia="Arial"/>
                <w:b/>
                <w:i w:val="0"/>
                <w:sz w:val="22"/>
              </w:rPr>
              <w:t>Document classification</w:t>
            </w:r>
          </w:p>
        </w:tc>
        <w:tc>
          <w:tcPr>
            <w:tcW w:type="dxa" w:w="6480"/>
          </w:tcPr>
          <w:p>
            <w:r/>
            <w:r>
              <w:rPr>
                <w:rFonts w:ascii="Arial" w:hAnsi="Arial" w:eastAsia="Arial"/>
                <w:b w:val="0"/>
                <w:i w:val="0"/>
                <w:sz w:val="22"/>
              </w:rPr>
              <w:t>INTERNAL</w:t>
            </w:r>
          </w:p>
        </w:tc>
      </w:tr>
      <w:tr>
        <w:tc>
          <w:tcPr>
            <w:tcW w:type="dxa" w:w="2880"/>
          </w:tcPr>
          <w:p>
            <w:r/>
            <w:r>
              <w:rPr>
                <w:rFonts w:ascii="Arial" w:hAnsi="Arial" w:eastAsia="Arial"/>
                <w:b/>
                <w:i w:val="0"/>
                <w:sz w:val="22"/>
              </w:rPr>
              <w:t>Version</w:t>
            </w:r>
          </w:p>
        </w:tc>
        <w:tc>
          <w:tcPr>
            <w:tcW w:type="dxa" w:w="6480"/>
          </w:tcPr>
          <w:p>
            <w:r/>
            <w:r>
              <w:rPr>
                <w:rFonts w:ascii="Arial" w:hAnsi="Arial" w:eastAsia="Arial"/>
                <w:b w:val="0"/>
                <w:i w:val="0"/>
                <w:sz w:val="22"/>
              </w:rPr>
              <w:t>v3.7</w:t>
            </w:r>
          </w:p>
        </w:tc>
      </w:tr>
      <w:tr>
        <w:tc>
          <w:tcPr>
            <w:tcW w:type="dxa" w:w="2880"/>
          </w:tcPr>
          <w:p>
            <w:r/>
            <w:r>
              <w:rPr>
                <w:rFonts w:ascii="Arial" w:hAnsi="Arial" w:eastAsia="Arial"/>
                <w:b/>
                <w:i w:val="0"/>
                <w:sz w:val="22"/>
              </w:rPr>
              <w:t>Effective date</w:t>
            </w:r>
          </w:p>
        </w:tc>
        <w:tc>
          <w:tcPr>
            <w:tcW w:type="dxa" w:w="6480"/>
          </w:tcPr>
          <w:p>
            <w:r/>
            <w:r>
              <w:rPr>
                <w:rFonts w:ascii="Arial" w:hAnsi="Arial" w:eastAsia="Arial"/>
                <w:b w:val="0"/>
                <w:i w:val="0"/>
                <w:sz w:val="22"/>
              </w:rPr>
              <w:t>2025-06-21</w:t>
            </w:r>
          </w:p>
        </w:tc>
      </w:tr>
      <w:tr>
        <w:tc>
          <w:tcPr>
            <w:tcW w:type="dxa" w:w="2880"/>
          </w:tcPr>
          <w:p>
            <w:r/>
            <w:r>
              <w:rPr>
                <w:rFonts w:ascii="Arial" w:hAnsi="Arial" w:eastAsia="Arial"/>
                <w:b/>
                <w:i w:val="0"/>
                <w:sz w:val="22"/>
              </w:rPr>
              <w:t>Owner</w:t>
            </w:r>
          </w:p>
        </w:tc>
        <w:tc>
          <w:tcPr>
            <w:tcW w:type="dxa" w:w="6480"/>
          </w:tcPr>
          <w:p>
            <w:r/>
            <w:r>
              <w:rPr>
                <w:rFonts w:ascii="Arial" w:hAnsi="Arial" w:eastAsia="Arial"/>
                <w:b w:val="0"/>
                <w:i w:val="0"/>
                <w:sz w:val="22"/>
              </w:rPr>
              <w:t>Chief Information Security Officer</w:t>
            </w:r>
          </w:p>
        </w:tc>
      </w:tr>
      <w:tr>
        <w:tc>
          <w:tcPr>
            <w:tcW w:type="dxa" w:w="2880"/>
          </w:tcPr>
          <w:p>
            <w:r/>
            <w:r>
              <w:rPr>
                <w:rFonts w:ascii="Arial" w:hAnsi="Arial" w:eastAsia="Arial"/>
                <w:b/>
                <w:i w:val="0"/>
                <w:sz w:val="22"/>
              </w:rPr>
              <w:t>Approver</w:t>
            </w:r>
          </w:p>
        </w:tc>
        <w:tc>
          <w:tcPr>
            <w:tcW w:type="dxa" w:w="6480"/>
          </w:tcPr>
          <w:p>
            <w:r/>
            <w:r>
              <w:rPr>
                <w:rFonts w:ascii="Arial" w:hAnsi="Arial" w:eastAsia="Arial"/>
                <w:b w:val="0"/>
                <w:i w:val="0"/>
                <w:sz w:val="22"/>
              </w:rPr>
              <w:t>VP Engineering &amp; Acting CISO, Daniel Kowalski</w:t>
            </w:r>
          </w:p>
        </w:tc>
      </w:tr>
      <w:tr>
        <w:tc>
          <w:tcPr>
            <w:tcW w:type="dxa" w:w="2880"/>
          </w:tcPr>
          <w:p>
            <w:r/>
            <w:r>
              <w:rPr>
                <w:rFonts w:ascii="Arial" w:hAnsi="Arial" w:eastAsia="Arial"/>
                <w:b/>
                <w:i w:val="0"/>
                <w:sz w:val="22"/>
              </w:rPr>
              <w:t>Review cycle</w:t>
            </w:r>
          </w:p>
        </w:tc>
        <w:tc>
          <w:tcPr>
            <w:tcW w:type="dxa" w:w="6480"/>
          </w:tcPr>
          <w:p>
            <w:r/>
            <w:r>
              <w:rPr>
                <w:rFonts w:ascii="Arial" w:hAnsi="Arial" w:eastAsia="Arial"/>
                <w:b w:val="0"/>
                <w:i w:val="0"/>
                <w:sz w:val="22"/>
              </w:rPr>
              <w:t>Annual or upon material change</w:t>
            </w:r>
          </w:p>
        </w:tc>
      </w:tr>
      <w:tr>
        <w:tc>
          <w:tcPr>
            <w:tcW w:type="dxa" w:w="2880"/>
          </w:tcPr>
          <w:p>
            <w:r/>
            <w:r>
              <w:rPr>
                <w:rFonts w:ascii="Arial" w:hAnsi="Arial" w:eastAsia="Arial"/>
                <w:b/>
                <w:i w:val="0"/>
                <w:sz w:val="22"/>
              </w:rPr>
              <w:t>Next scheduled review</w:t>
            </w:r>
          </w:p>
        </w:tc>
        <w:tc>
          <w:tcPr>
            <w:tcW w:type="dxa" w:w="6480"/>
          </w:tcPr>
          <w:p>
            <w:r/>
            <w:r>
              <w:rPr>
                <w:rFonts w:ascii="Arial" w:hAnsi="Arial" w:eastAsia="Arial"/>
                <w:b w:val="0"/>
                <w:i w:val="0"/>
                <w:sz w:val="22"/>
              </w:rPr>
              <w:t>2026-06-21</w:t>
            </w:r>
          </w:p>
        </w:tc>
      </w:tr>
      <w:tr>
        <w:tc>
          <w:tcPr>
            <w:tcW w:type="dxa" w:w="2880"/>
          </w:tcPr>
          <w:p>
            <w:r/>
            <w:r>
              <w:rPr>
                <w:rFonts w:ascii="Arial" w:hAnsi="Arial" w:eastAsia="Arial"/>
                <w:b/>
                <w:i w:val="0"/>
                <w:sz w:val="22"/>
              </w:rPr>
              <w:t>Distribution</w:t>
            </w:r>
          </w:p>
        </w:tc>
        <w:tc>
          <w:tcPr>
            <w:tcW w:type="dxa" w:w="6480"/>
          </w:tcPr>
          <w:p>
            <w:r/>
            <w:r>
              <w:rPr>
                <w:rFonts w:ascii="Arial" w:hAnsi="Arial" w:eastAsia="Arial"/>
                <w:b w:val="0"/>
                <w:i w:val="0"/>
                <w:sz w:val="22"/>
              </w:rPr>
              <w:t>All employees, contractors and authorised agents</w:t>
            </w:r>
          </w:p>
        </w:tc>
      </w:tr>
    </w:tbl>
    <w:p/>
    <w:p>
      <w:pPr>
        <w:keepNext/>
        <w:spacing w:before="240" w:after="120"/>
      </w:pPr>
      <w:r>
        <w:rPr>
          <w:rFonts w:ascii="Arial" w:hAnsi="Arial" w:eastAsia="Arial"/>
          <w:b/>
          <w:i w:val="0"/>
          <w:color w:val="1F4E78"/>
          <w:sz w:val="32"/>
        </w:rPr>
        <w:t>1. Purpose and Scope</w:t>
      </w:r>
    </w:p>
    <w:p>
      <w:pPr>
        <w:spacing w:after="120"/>
      </w:pPr>
      <w:r>
        <w:rPr>
          <w:rFonts w:ascii="Arial" w:hAnsi="Arial" w:eastAsia="Arial"/>
          <w:b w:val="0"/>
          <w:i w:val="0"/>
          <w:sz w:val="22"/>
        </w:rPr>
        <w:t>This Information Security Policy (this 'Policy') establishes the principles, requirements and responsibilities for the protection of information assets owned, processed or controlled by QuantEdge Analytics Inc. (the 'Company'). It applies to all employees, contractors, third-party service providers and any other parties with access to the Company's information assets or systems.</w:t>
      </w:r>
    </w:p>
    <w:p>
      <w:pPr>
        <w:keepNext/>
        <w:spacing w:before="240" w:after="120"/>
      </w:pPr>
      <w:r>
        <w:rPr>
          <w:rFonts w:ascii="Arial" w:hAnsi="Arial" w:eastAsia="Arial"/>
          <w:b/>
          <w:i w:val="0"/>
          <w:color w:val="1F4E78"/>
          <w:sz w:val="32"/>
        </w:rPr>
        <w:t>2. Governance and Roles</w:t>
      </w:r>
    </w:p>
    <w:p>
      <w:pPr>
        <w:keepNext/>
        <w:spacing w:before="120" w:after="40"/>
      </w:pPr>
      <w:r>
        <w:rPr>
          <w:rFonts w:ascii="Arial" w:hAnsi="Arial" w:eastAsia="Arial"/>
          <w:b/>
          <w:i w:val="0"/>
          <w:color w:val="404040"/>
          <w:sz w:val="22"/>
        </w:rPr>
        <w:t>2.1 Information Security Steering Committee</w:t>
      </w:r>
    </w:p>
    <w:p>
      <w:pPr>
        <w:spacing w:after="120"/>
      </w:pPr>
      <w:r>
        <w:rPr>
          <w:rFonts w:ascii="Arial" w:hAnsi="Arial" w:eastAsia="Arial"/>
          <w:b w:val="0"/>
          <w:i w:val="0"/>
          <w:sz w:val="22"/>
        </w:rPr>
        <w:t>An Information Security Steering Committee meets at least quarterly. The Committee is chaired by the Chief Information Security Officer and includes accountable executives for Engineering, Site Reliability, Privacy, Compliance, Legal and Customer Trust.</w:t>
      </w:r>
    </w:p>
    <w:p>
      <w:pPr>
        <w:keepNext/>
        <w:spacing w:before="120" w:after="40"/>
      </w:pPr>
      <w:r>
        <w:rPr>
          <w:rFonts w:ascii="Arial" w:hAnsi="Arial" w:eastAsia="Arial"/>
          <w:b/>
          <w:i w:val="0"/>
          <w:color w:val="404040"/>
          <w:sz w:val="22"/>
        </w:rPr>
        <w:t>2.2 Three Lines of Defence</w:t>
      </w:r>
    </w:p>
    <w:p>
      <w:pPr>
        <w:spacing w:after="120"/>
      </w:pPr>
      <w:r>
        <w:rPr>
          <w:rFonts w:ascii="Arial" w:hAnsi="Arial" w:eastAsia="Arial"/>
          <w:b w:val="0"/>
          <w:i w:val="0"/>
          <w:sz w:val="22"/>
        </w:rPr>
        <w:t>The Company operates a three-lines-of-defence model. The 1st line consists of business and operations functions which own primary control execution. The 2nd line is the Information Security and Compliance functions which design and monitor controls. The 3rd line is the Internal Audit function which independently assures control operation.</w:t>
      </w:r>
    </w:p>
    <w:p>
      <w:pPr>
        <w:keepNext/>
        <w:spacing w:before="240" w:after="120"/>
      </w:pPr>
      <w:r>
        <w:rPr>
          <w:rFonts w:ascii="Arial" w:hAnsi="Arial" w:eastAsia="Arial"/>
          <w:b/>
          <w:i w:val="0"/>
          <w:color w:val="1F4E78"/>
          <w:sz w:val="32"/>
        </w:rPr>
        <w:t>3. Risk Management</w:t>
      </w:r>
    </w:p>
    <w:p>
      <w:pPr>
        <w:spacing w:after="120"/>
      </w:pPr>
      <w:r>
        <w:rPr>
          <w:rFonts w:ascii="Arial" w:hAnsi="Arial" w:eastAsia="Arial"/>
          <w:b w:val="0"/>
          <w:i w:val="0"/>
          <w:sz w:val="22"/>
        </w:rPr>
        <w:t>Information security risks shall be identified, assessed and treated in accordance with the ISO/IEC 27005 framework. Risks are recorded in the enterprise risk register; risks above the Company's risk appetite are escalated to the Steering Committee for treatment decision.</w:t>
      </w:r>
    </w:p>
    <w:p>
      <w:pPr>
        <w:keepNext/>
        <w:spacing w:before="240" w:after="120"/>
      </w:pPr>
      <w:r>
        <w:rPr>
          <w:rFonts w:ascii="Arial" w:hAnsi="Arial" w:eastAsia="Arial"/>
          <w:b/>
          <w:i w:val="0"/>
          <w:color w:val="1F4E78"/>
          <w:sz w:val="32"/>
        </w:rPr>
        <w:t>4. Subordinate Policies</w:t>
      </w:r>
    </w:p>
    <w:p>
      <w:pPr>
        <w:spacing w:after="120"/>
      </w:pPr>
      <w:r>
        <w:rPr>
          <w:rFonts w:ascii="Arial" w:hAnsi="Arial" w:eastAsia="Arial"/>
          <w:b w:val="0"/>
          <w:i w:val="0"/>
          <w:sz w:val="22"/>
        </w:rPr>
        <w:t>This Policy is supplemented by the following subordinate policies, all of which are in scope of the ISMS:</w:t>
      </w:r>
    </w:p>
    <w:p>
      <w:pPr>
        <w:pStyle w:val="ListBullet"/>
      </w:pPr>
      <w:r>
        <w:rPr>
          <w:rFonts w:ascii="Arial" w:hAnsi="Arial" w:eastAsia="Arial"/>
          <w:b w:val="0"/>
          <w:i w:val="0"/>
          <w:sz w:val="22"/>
        </w:rPr>
        <w:t>Acceptable Use Policy</w:t>
      </w:r>
    </w:p>
    <w:p>
      <w:pPr>
        <w:pStyle w:val="ListBullet"/>
      </w:pPr>
      <w:r>
        <w:rPr>
          <w:rFonts w:ascii="Arial" w:hAnsi="Arial" w:eastAsia="Arial"/>
          <w:b w:val="0"/>
          <w:i w:val="0"/>
          <w:sz w:val="22"/>
        </w:rPr>
        <w:t>Access Control Policy</w:t>
      </w:r>
    </w:p>
    <w:p>
      <w:pPr>
        <w:pStyle w:val="ListBullet"/>
      </w:pPr>
      <w:r>
        <w:rPr>
          <w:rFonts w:ascii="Arial" w:hAnsi="Arial" w:eastAsia="Arial"/>
          <w:b w:val="0"/>
          <w:i w:val="0"/>
          <w:sz w:val="22"/>
        </w:rPr>
        <w:t>Cryptography Policy</w:t>
      </w:r>
    </w:p>
    <w:p>
      <w:pPr>
        <w:pStyle w:val="ListBullet"/>
      </w:pPr>
      <w:r>
        <w:rPr>
          <w:rFonts w:ascii="Arial" w:hAnsi="Arial" w:eastAsia="Arial"/>
          <w:b w:val="0"/>
          <w:i w:val="0"/>
          <w:sz w:val="22"/>
        </w:rPr>
        <w:t>Data Classification and Handling Policy</w:t>
      </w:r>
    </w:p>
    <w:p>
      <w:pPr>
        <w:pStyle w:val="ListBullet"/>
      </w:pPr>
      <w:r>
        <w:rPr>
          <w:rFonts w:ascii="Arial" w:hAnsi="Arial" w:eastAsia="Arial"/>
          <w:b w:val="0"/>
          <w:i w:val="0"/>
          <w:sz w:val="22"/>
        </w:rPr>
        <w:t>Vulnerability Management Policy</w:t>
      </w:r>
    </w:p>
    <w:p>
      <w:pPr>
        <w:pStyle w:val="ListBullet"/>
      </w:pPr>
      <w:r>
        <w:rPr>
          <w:rFonts w:ascii="Arial" w:hAnsi="Arial" w:eastAsia="Arial"/>
          <w:b w:val="0"/>
          <w:i w:val="0"/>
          <w:sz w:val="22"/>
        </w:rPr>
        <w:t>Change Management Policy</w:t>
      </w:r>
    </w:p>
    <w:p>
      <w:pPr>
        <w:pStyle w:val="ListBullet"/>
      </w:pPr>
      <w:r>
        <w:rPr>
          <w:rFonts w:ascii="Arial" w:hAnsi="Arial" w:eastAsia="Arial"/>
          <w:b w:val="0"/>
          <w:i w:val="0"/>
          <w:sz w:val="22"/>
        </w:rPr>
        <w:t>Logging and Monitoring Policy</w:t>
      </w:r>
    </w:p>
    <w:p>
      <w:pPr>
        <w:pStyle w:val="ListBullet"/>
      </w:pPr>
      <w:r>
        <w:rPr>
          <w:rFonts w:ascii="Arial" w:hAnsi="Arial" w:eastAsia="Arial"/>
          <w:b w:val="0"/>
          <w:i w:val="0"/>
          <w:sz w:val="22"/>
        </w:rPr>
        <w:t>Incident Response Policy</w:t>
      </w:r>
    </w:p>
    <w:p>
      <w:pPr>
        <w:pStyle w:val="ListBullet"/>
      </w:pPr>
      <w:r>
        <w:rPr>
          <w:rFonts w:ascii="Arial" w:hAnsi="Arial" w:eastAsia="Arial"/>
          <w:b w:val="0"/>
          <w:i w:val="0"/>
          <w:sz w:val="22"/>
        </w:rPr>
        <w:t>Business Continuity and Disaster Recovery Policy (separate document)</w:t>
      </w:r>
    </w:p>
    <w:p>
      <w:pPr>
        <w:pStyle w:val="ListBullet"/>
      </w:pPr>
      <w:r>
        <w:rPr>
          <w:rFonts w:ascii="Arial" w:hAnsi="Arial" w:eastAsia="Arial"/>
          <w:b w:val="0"/>
          <w:i w:val="0"/>
          <w:sz w:val="22"/>
        </w:rPr>
        <w:t>Third-Party Risk Management Policy</w:t>
      </w:r>
    </w:p>
    <w:p>
      <w:pPr>
        <w:pStyle w:val="ListBullet"/>
      </w:pPr>
      <w:r>
        <w:rPr>
          <w:rFonts w:ascii="Arial" w:hAnsi="Arial" w:eastAsia="Arial"/>
          <w:b w:val="0"/>
          <w:i w:val="0"/>
          <w:sz w:val="22"/>
        </w:rPr>
        <w:t>Secure Software Development Policy</w:t>
      </w:r>
    </w:p>
    <w:p>
      <w:pPr>
        <w:pStyle w:val="ListBullet"/>
      </w:pPr>
      <w:r>
        <w:rPr>
          <w:rFonts w:ascii="Arial" w:hAnsi="Arial" w:eastAsia="Arial"/>
          <w:b w:val="0"/>
          <w:i w:val="0"/>
          <w:sz w:val="22"/>
        </w:rPr>
        <w:t>Privacy Policy</w:t>
      </w:r>
    </w:p>
    <w:p>
      <w:pPr>
        <w:keepNext/>
        <w:spacing w:before="240" w:after="120"/>
      </w:pPr>
      <w:r>
        <w:rPr>
          <w:rFonts w:ascii="Arial" w:hAnsi="Arial" w:eastAsia="Arial"/>
          <w:b/>
          <w:i w:val="0"/>
          <w:color w:val="1F4E78"/>
          <w:sz w:val="32"/>
        </w:rPr>
        <w:t>5. Acceptable Use</w:t>
      </w:r>
    </w:p>
    <w:p>
      <w:pPr>
        <w:spacing w:after="120"/>
      </w:pPr>
      <w:r>
        <w:rPr>
          <w:rFonts w:ascii="Arial" w:hAnsi="Arial" w:eastAsia="Arial"/>
          <w:b w:val="0"/>
          <w:i w:val="0"/>
          <w:sz w:val="22"/>
        </w:rPr>
        <w:t>All users shall use Company information assets only for authorised business purposes. Connecting personal devices to production environments is prohibited unless expressly authorised. Users must report suspected security incidents through the documented channels without delay.</w:t>
      </w:r>
    </w:p>
    <w:p>
      <w:pPr>
        <w:keepNext/>
        <w:spacing w:before="240" w:after="120"/>
      </w:pPr>
      <w:r>
        <w:rPr>
          <w:rFonts w:ascii="Arial" w:hAnsi="Arial" w:eastAsia="Arial"/>
          <w:b/>
          <w:i w:val="0"/>
          <w:color w:val="1F4E78"/>
          <w:sz w:val="32"/>
        </w:rPr>
        <w:t>6. Access Control</w:t>
      </w:r>
    </w:p>
    <w:p>
      <w:pPr>
        <w:spacing w:after="120"/>
      </w:pPr>
      <w:r>
        <w:rPr>
          <w:rFonts w:ascii="Arial" w:hAnsi="Arial" w:eastAsia="Arial"/>
          <w:b w:val="0"/>
          <w:i w:val="0"/>
          <w:sz w:val="22"/>
        </w:rPr>
        <w:t>Access to information assets is granted in accordance with the principle of least privilege and on the basis of a documented business need. Privileged access is mediated via a Privileged Access Management (PAM) solution and reviewed quarterly. Multi-factor authentication is mandatory for all administrative and remote access. Authentication factors must include at least one phishing-resistant factor for production access.</w:t>
      </w:r>
    </w:p>
    <w:p>
      <w:pPr>
        <w:keepNext/>
        <w:spacing w:before="240" w:after="120"/>
      </w:pPr>
      <w:r>
        <w:rPr>
          <w:rFonts w:ascii="Arial" w:hAnsi="Arial" w:eastAsia="Arial"/>
          <w:b/>
          <w:i w:val="0"/>
          <w:color w:val="1F4E78"/>
          <w:sz w:val="32"/>
        </w:rPr>
        <w:t>7. Cryptography</w:t>
      </w:r>
    </w:p>
    <w:p>
      <w:pPr>
        <w:spacing w:after="120"/>
      </w:pPr>
      <w:r>
        <w:rPr>
          <w:rFonts w:ascii="Arial" w:hAnsi="Arial" w:eastAsia="Arial"/>
          <w:b w:val="0"/>
          <w:i w:val="0"/>
          <w:sz w:val="22"/>
        </w:rPr>
        <w:t>Encryption controls are documented in the Cryptography Policy. Minimum standards include:</w:t>
      </w:r>
    </w:p>
    <w:p>
      <w:pPr>
        <w:pStyle w:val="ListBullet"/>
      </w:pPr>
      <w:r>
        <w:rPr>
          <w:rFonts w:ascii="Arial" w:hAnsi="Arial" w:eastAsia="Arial"/>
          <w:b w:val="0"/>
          <w:i w:val="0"/>
          <w:sz w:val="22"/>
        </w:rPr>
        <w:t>AES-256 for data at rest via AWS KMS (FIPS 140-2 Level 2).</w:t>
      </w:r>
    </w:p>
    <w:p>
      <w:pPr>
        <w:pStyle w:val="ListBullet"/>
      </w:pPr>
      <w:r>
        <w:rPr>
          <w:rFonts w:ascii="Arial" w:hAnsi="Arial" w:eastAsia="Arial"/>
          <w:b w:val="0"/>
          <w:i w:val="0"/>
          <w:sz w:val="22"/>
        </w:rPr>
        <w:t>TLS 1.2 minimum for data in transit.</w:t>
      </w:r>
    </w:p>
    <w:p>
      <w:pPr>
        <w:pStyle w:val="ListBullet"/>
      </w:pPr>
      <w:r>
        <w:rPr>
          <w:rFonts w:ascii="Arial" w:hAnsi="Arial" w:eastAsia="Arial"/>
          <w:b w:val="0"/>
          <w:i w:val="0"/>
          <w:sz w:val="22"/>
        </w:rPr>
        <w:t>Per-environment Customer Master Keys (CMKs); per-tenant CMKs available on Enterprise tier.</w:t>
      </w:r>
    </w:p>
    <w:p>
      <w:pPr>
        <w:keepNext/>
        <w:spacing w:before="240" w:after="120"/>
      </w:pPr>
      <w:r>
        <w:rPr>
          <w:rFonts w:ascii="Arial" w:hAnsi="Arial" w:eastAsia="Arial"/>
          <w:b/>
          <w:i w:val="0"/>
          <w:color w:val="1F4E78"/>
          <w:sz w:val="32"/>
        </w:rPr>
        <w:t>8. Third-Party Risk Management</w:t>
      </w:r>
    </w:p>
    <w:p>
      <w:pPr>
        <w:spacing w:after="120"/>
      </w:pPr>
      <w:r>
        <w:rPr>
          <w:rFonts w:ascii="Arial" w:hAnsi="Arial" w:eastAsia="Arial"/>
          <w:b w:val="0"/>
          <w:i w:val="0"/>
          <w:sz w:val="22"/>
        </w:rPr>
        <w:t>All third-party suppliers with access to Company or customer data shall be assessed prior to onboarding and at least annually thereafter. Material sub-processors are disclosed in the Subprocessor List and the executed Data Processing Agreements with customers.</w:t>
      </w:r>
    </w:p>
    <w:p>
      <w:pPr>
        <w:keepNext/>
        <w:spacing w:before="240" w:after="120"/>
      </w:pPr>
      <w:r>
        <w:rPr>
          <w:rFonts w:ascii="Arial" w:hAnsi="Arial" w:eastAsia="Arial"/>
          <w:b/>
          <w:i w:val="0"/>
          <w:color w:val="1F4E78"/>
          <w:sz w:val="32"/>
        </w:rPr>
        <w:t>9. Incident Management</w:t>
      </w:r>
    </w:p>
    <w:p>
      <w:pPr>
        <w:spacing w:after="120"/>
      </w:pPr>
      <w:r>
        <w:rPr>
          <w:rFonts w:ascii="Arial" w:hAnsi="Arial" w:eastAsia="Arial"/>
          <w:b w:val="0"/>
          <w:i w:val="0"/>
          <w:sz w:val="22"/>
        </w:rPr>
        <w:t>A documented Incident Response Plan governs detection, triage, containment, eradication, recovery and post-incident review. Confirmed material security incidents shall be communicated to affected customers without undue delay and not later than 72 hours from detection, in accordance with applicable regulatory requirements.</w:t>
      </w:r>
    </w:p>
    <w:p>
      <w:pPr>
        <w:keepNext/>
        <w:spacing w:before="240" w:after="120"/>
      </w:pPr>
      <w:r>
        <w:rPr>
          <w:rFonts w:ascii="Arial" w:hAnsi="Arial" w:eastAsia="Arial"/>
          <w:b/>
          <w:i w:val="0"/>
          <w:color w:val="1F4E78"/>
          <w:sz w:val="32"/>
        </w:rPr>
        <w:t>10. Vulnerability and Patch Management</w:t>
      </w:r>
    </w:p>
    <w:p>
      <w:pPr>
        <w:keepNext/>
        <w:spacing w:before="120" w:after="40"/>
      </w:pPr>
      <w:r>
        <w:rPr>
          <w:rFonts w:ascii="Arial" w:hAnsi="Arial" w:eastAsia="Arial"/>
          <w:b/>
          <w:i w:val="0"/>
          <w:color w:val="404040"/>
          <w:sz w:val="22"/>
        </w:rPr>
        <w:t>10.3 Remediation SLAs</w:t>
      </w:r>
    </w:p>
    <w:p>
      <w:pPr>
        <w:spacing w:after="120"/>
      </w:pPr>
      <w:r>
        <w:rPr>
          <w:rFonts w:ascii="Arial" w:hAnsi="Arial" w:eastAsia="Arial"/>
          <w:b w:val="0"/>
          <w:i w:val="0"/>
          <w:sz w:val="22"/>
        </w:rPr>
        <w:t>Critical vulnerabilities (CVSS v3 base score &gt;= 9.0): 30 calendar days. High vulnerabilities (CVSS v3 base score 7.0-8.9): 60 calendar days. Medium vulnerabilities (CVSS v3 base score 4.0-6.9): 90 calendar days. Performance against these SLAs is reported monthly.</w:t>
      </w:r>
    </w:p>
    <w:p>
      <w:pPr>
        <w:keepNext/>
        <w:spacing w:before="240" w:after="120"/>
      </w:pPr>
      <w:r>
        <w:rPr>
          <w:rFonts w:ascii="Arial" w:hAnsi="Arial" w:eastAsia="Arial"/>
          <w:b/>
          <w:i w:val="0"/>
          <w:color w:val="1F4E78"/>
          <w:sz w:val="32"/>
        </w:rPr>
        <w:t>11. Penetration Testing and Assurance</w:t>
      </w:r>
    </w:p>
    <w:p>
      <w:pPr>
        <w:keepNext/>
        <w:spacing w:before="120" w:after="40"/>
      </w:pPr>
      <w:r>
        <w:rPr>
          <w:rFonts w:ascii="Arial" w:hAnsi="Arial" w:eastAsia="Arial"/>
          <w:b/>
          <w:i w:val="0"/>
          <w:color w:val="404040"/>
          <w:sz w:val="22"/>
        </w:rPr>
        <w:t>11.4 External Penetration Testing</w:t>
      </w:r>
    </w:p>
    <w:p>
      <w:pPr>
        <w:spacing w:after="120"/>
      </w:pPr>
      <w:r>
        <w:rPr>
          <w:rFonts w:ascii="Arial" w:hAnsi="Arial" w:eastAsia="Arial"/>
          <w:b w:val="0"/>
          <w:i w:val="0"/>
          <w:sz w:val="22"/>
        </w:rPr>
        <w:t>External penetration testing of customer-facing surfaces shall be conducted at least annually.</w:t>
      </w:r>
    </w:p>
    <w:p>
      <w:pPr>
        <w:keepNext/>
        <w:spacing w:before="240" w:after="120"/>
      </w:pPr>
      <w:r>
        <w:rPr>
          <w:rFonts w:ascii="Arial" w:hAnsi="Arial" w:eastAsia="Arial"/>
          <w:b/>
          <w:i w:val="0"/>
          <w:color w:val="1F4E78"/>
          <w:sz w:val="32"/>
        </w:rPr>
        <w:t>12. Privacy and Data Protection</w:t>
      </w:r>
    </w:p>
    <w:p>
      <w:pPr>
        <w:spacing w:after="120"/>
      </w:pPr>
      <w:r>
        <w:rPr>
          <w:rFonts w:ascii="Arial" w:hAnsi="Arial" w:eastAsia="Arial"/>
          <w:b w:val="0"/>
          <w:i w:val="0"/>
          <w:sz w:val="22"/>
        </w:rPr>
        <w:t>Personal data is processed in accordance with the Privacy Policy and applicable data protection laws. Data minimisation, purpose limitation, storage limitation and integrity/confidentiality principles are operationalised via control mappings to ISO 27701 Annex B.</w:t>
      </w:r>
    </w:p>
    <w:p>
      <w:pPr>
        <w:keepNext/>
        <w:spacing w:before="240" w:after="120"/>
      </w:pPr>
      <w:r>
        <w:rPr>
          <w:rFonts w:ascii="Arial" w:hAnsi="Arial" w:eastAsia="Arial"/>
          <w:b/>
          <w:i w:val="0"/>
          <w:color w:val="1F4E78"/>
          <w:sz w:val="32"/>
        </w:rPr>
        <w:t>13. Compliance and Enforcement</w:t>
      </w:r>
    </w:p>
    <w:p>
      <w:pPr>
        <w:spacing w:after="120"/>
      </w:pPr>
      <w:r>
        <w:rPr>
          <w:rFonts w:ascii="Arial" w:hAnsi="Arial" w:eastAsia="Arial"/>
          <w:b w:val="0"/>
          <w:i w:val="0"/>
          <w:sz w:val="22"/>
        </w:rPr>
        <w:t>Non-compliance with this Policy may result in disciplinary action up to and including termination. The CISO (or equivalent) maintains the authority to grant time-limited exceptions, which shall be documented and reviewed quarterly.</w:t>
      </w:r>
    </w:p>
    <w:p>
      <w:pPr>
        <w:keepNext/>
        <w:spacing w:before="240" w:after="120"/>
      </w:pPr>
      <w:r>
        <w:rPr>
          <w:rFonts w:ascii="Arial" w:hAnsi="Arial" w:eastAsia="Arial"/>
          <w:b/>
          <w:i w:val="0"/>
          <w:color w:val="1F4E78"/>
          <w:sz w:val="32"/>
        </w:rPr>
        <w:t>14. Document Control</w:t>
      </w:r>
    </w:p>
    <w:p>
      <w:pPr>
        <w:spacing w:after="120"/>
      </w:pPr>
      <w:r>
        <w:rPr>
          <w:rFonts w:ascii="Arial" w:hAnsi="Arial" w:eastAsia="Arial"/>
          <w:b w:val="0"/>
          <w:i w:val="0"/>
          <w:sz w:val="22"/>
        </w:rPr>
        <w:t>Document approved by: VP Engineering &amp; Acting CISO, Daniel Kowalski.</w:t>
      </w:r>
    </w:p>
    <w:p>
      <w:pPr>
        <w:spacing w:after="120"/>
      </w:pPr>
      <w:r>
        <w:rPr>
          <w:rFonts w:ascii="Arial" w:hAnsi="Arial" w:eastAsia="Arial"/>
          <w:b w:val="0"/>
          <w:i w:val="0"/>
          <w:sz w:val="22"/>
        </w:rPr>
        <w:t>Approval date: 2025-06-21.</w:t>
      </w:r>
    </w:p>
    <w:p>
      <w:pPr>
        <w:spacing w:after="120"/>
      </w:pPr>
      <w:r>
        <w:rPr>
          <w:rFonts w:ascii="Arial" w:hAnsi="Arial" w:eastAsia="Arial"/>
          <w:b w:val="0"/>
          <w:i w:val="0"/>
          <w:sz w:val="22"/>
        </w:rPr>
        <w:t>Document register reference: ISP-MASTER-001.</w:t>
      </w:r>
    </w:p>
    <w:p>
      <w:pPr>
        <w:spacing w:after="120"/>
      </w:pPr>
      <w:r>
        <w:rPr>
          <w:rFonts w:ascii="Arial" w:hAnsi="Arial" w:eastAsia="Arial"/>
          <w:b w:val="0"/>
          <w:i w:val="0"/>
          <w:sz w:val="22"/>
        </w:rPr>
        <w:t>Next review: 2026-06-21.</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