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color w:val="1F4E78"/>
          <w:sz w:val="40"/>
        </w:rPr>
        <w:t>Third-Party Engagement Context</w:t>
      </w:r>
    </w:p>
    <w:p>
      <w:pPr>
        <w:spacing w:after="360"/>
        <w:jc w:val="center"/>
      </w:pPr>
      <w:r>
        <w:rPr>
          <w:rFonts w:ascii="Arial" w:hAnsi="Arial" w:eastAsia="Arial"/>
          <w:b w:val="0"/>
          <w:i w:val="0"/>
          <w:color w:val="404040"/>
          <w:sz w:val="28"/>
        </w:rPr>
        <w:t>VerifyPro Compliance Solutions S.A.</w:t>
      </w:r>
    </w:p>
    <w:p>
      <w:pPr>
        <w:spacing w:after="360"/>
        <w:jc w:val="center"/>
      </w:pPr>
      <w:r>
        <w:rPr>
          <w:rFonts w:ascii="Arial" w:hAnsi="Arial" w:eastAsia="Arial"/>
          <w:b w:val="0"/>
          <w:i/>
          <w:color w:val="595959"/>
          <w:sz w:val="20"/>
        </w:rPr>
        <w:t>Aurora Investment Bank plc - Cyber Third-Party Risk Management</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Vendor record ID</w:t>
            </w:r>
          </w:p>
        </w:tc>
        <w:tc>
          <w:tcPr>
            <w:tcW w:type="dxa" w:w="6480"/>
          </w:tcPr>
          <w:p>
            <w:r/>
            <w:r>
              <w:rPr>
                <w:rFonts w:ascii="Arial" w:hAnsi="Arial" w:eastAsia="Arial"/>
                <w:b w:val="0"/>
                <w:i w:val="0"/>
                <w:sz w:val="22"/>
              </w:rPr>
              <w:t>TPV-2026-003</w:t>
            </w:r>
          </w:p>
        </w:tc>
      </w:tr>
      <w:tr>
        <w:tc>
          <w:tcPr>
            <w:tcW w:type="dxa" w:w="2880"/>
          </w:tcPr>
          <w:p>
            <w:r/>
            <w:r>
              <w:rPr>
                <w:rFonts w:ascii="Arial" w:hAnsi="Arial" w:eastAsia="Arial"/>
                <w:b/>
                <w:i w:val="0"/>
                <w:sz w:val="22"/>
              </w:rPr>
              <w:t>Engagement code</w:t>
            </w:r>
          </w:p>
        </w:tc>
        <w:tc>
          <w:tcPr>
            <w:tcW w:type="dxa" w:w="6480"/>
          </w:tcPr>
          <w:p>
            <w:r/>
            <w:r>
              <w:rPr>
                <w:rFonts w:ascii="Arial" w:hAnsi="Arial" w:eastAsia="Arial"/>
                <w:b w:val="0"/>
                <w:i w:val="0"/>
                <w:sz w:val="22"/>
              </w:rPr>
              <w:t>VERIFYPRO-AB-2012-001</w:t>
            </w:r>
          </w:p>
        </w:tc>
      </w:tr>
      <w:tr>
        <w:tc>
          <w:tcPr>
            <w:tcW w:type="dxa" w:w="2880"/>
          </w:tcPr>
          <w:p>
            <w:r/>
            <w:r>
              <w:rPr>
                <w:rFonts w:ascii="Arial" w:hAnsi="Arial" w:eastAsia="Arial"/>
                <w:b/>
                <w:i w:val="0"/>
                <w:sz w:val="22"/>
              </w:rPr>
              <w:t>Service category</w:t>
            </w:r>
          </w:p>
        </w:tc>
        <w:tc>
          <w:tcPr>
            <w:tcW w:type="dxa" w:w="6480"/>
          </w:tcPr>
          <w:p>
            <w:r/>
            <w:r>
              <w:rPr>
                <w:rFonts w:ascii="Arial" w:hAnsi="Arial" w:eastAsia="Arial"/>
                <w:b w:val="0"/>
                <w:i w:val="0"/>
                <w:sz w:val="22"/>
              </w:rPr>
              <w:t>KYC / AML / Sanctions Screening</w:t>
            </w:r>
          </w:p>
        </w:tc>
      </w:tr>
      <w:tr>
        <w:tc>
          <w:tcPr>
            <w:tcW w:type="dxa" w:w="2880"/>
          </w:tcPr>
          <w:p>
            <w:r/>
            <w:r>
              <w:rPr>
                <w:rFonts w:ascii="Arial" w:hAnsi="Arial" w:eastAsia="Arial"/>
                <w:b/>
                <w:i w:val="0"/>
                <w:sz w:val="22"/>
              </w:rPr>
              <w:t>Criticality</w:t>
            </w:r>
          </w:p>
        </w:tc>
        <w:tc>
          <w:tcPr>
            <w:tcW w:type="dxa" w:w="6480"/>
          </w:tcPr>
          <w:p>
            <w:r/>
            <w:r>
              <w:rPr>
                <w:rFonts w:ascii="Arial" w:hAnsi="Arial" w:eastAsia="Arial"/>
                <w:b w:val="0"/>
                <w:i w:val="0"/>
                <w:sz w:val="22"/>
              </w:rPr>
              <w:t>Tier 1 - Critical</w:t>
            </w:r>
          </w:p>
        </w:tc>
      </w:tr>
      <w:tr>
        <w:tc>
          <w:tcPr>
            <w:tcW w:type="dxa" w:w="2880"/>
          </w:tcPr>
          <w:p>
            <w:r/>
            <w:r>
              <w:rPr>
                <w:rFonts w:ascii="Arial" w:hAnsi="Arial" w:eastAsia="Arial"/>
                <w:b/>
                <w:i w:val="0"/>
                <w:sz w:val="22"/>
              </w:rPr>
              <w:t>Data classification</w:t>
            </w:r>
          </w:p>
        </w:tc>
        <w:tc>
          <w:tcPr>
            <w:tcW w:type="dxa" w:w="6480"/>
          </w:tcPr>
          <w:p>
            <w:r/>
            <w:r>
              <w:rPr>
                <w:rFonts w:ascii="Arial" w:hAnsi="Arial" w:eastAsia="Arial"/>
                <w:b w:val="0"/>
                <w:i w:val="0"/>
                <w:sz w:val="22"/>
              </w:rPr>
              <w:t>Highly Confidential / PII / Special Category Data</w:t>
            </w:r>
          </w:p>
        </w:tc>
      </w:tr>
      <w:tr>
        <w:tc>
          <w:tcPr>
            <w:tcW w:type="dxa" w:w="2880"/>
          </w:tcPr>
          <w:p>
            <w:r/>
            <w:r>
              <w:rPr>
                <w:rFonts w:ascii="Arial" w:hAnsi="Arial" w:eastAsia="Arial"/>
                <w:b/>
                <w:i w:val="0"/>
                <w:sz w:val="22"/>
              </w:rPr>
              <w:t>Annual contract value</w:t>
            </w:r>
          </w:p>
        </w:tc>
        <w:tc>
          <w:tcPr>
            <w:tcW w:type="dxa" w:w="6480"/>
          </w:tcPr>
          <w:p>
            <w:r/>
            <w:r>
              <w:rPr>
                <w:rFonts w:ascii="Arial" w:hAnsi="Arial" w:eastAsia="Arial"/>
                <w:b w:val="0"/>
                <w:i w:val="0"/>
                <w:sz w:val="22"/>
              </w:rPr>
              <w:t>EUR 4.1m annual contract value, 3-year MSA, regulatory-critical supplier</w:t>
            </w:r>
          </w:p>
        </w:tc>
      </w:tr>
      <w:tr>
        <w:tc>
          <w:tcPr>
            <w:tcW w:type="dxa" w:w="2880"/>
          </w:tcPr>
          <w:p>
            <w:r/>
            <w:r>
              <w:rPr>
                <w:rFonts w:ascii="Arial" w:hAnsi="Arial" w:eastAsia="Arial"/>
                <w:b/>
                <w:i w:val="0"/>
                <w:sz w:val="22"/>
              </w:rPr>
              <w:t>Data volume</w:t>
            </w:r>
          </w:p>
        </w:tc>
        <w:tc>
          <w:tcPr>
            <w:tcW w:type="dxa" w:w="6480"/>
          </w:tcPr>
          <w:p>
            <w:r/>
            <w:r>
              <w:rPr>
                <w:rFonts w:ascii="Arial" w:hAnsi="Arial" w:eastAsia="Arial"/>
                <w:b w:val="0"/>
                <w:i w:val="0"/>
                <w:sz w:val="22"/>
              </w:rPr>
              <w:t>~62 TB live PII; ~2.1B identity records (cumulative)</w:t>
            </w:r>
          </w:p>
        </w:tc>
      </w:tr>
      <w:tr>
        <w:tc>
          <w:tcPr>
            <w:tcW w:type="dxa" w:w="2880"/>
          </w:tcPr>
          <w:p>
            <w:r/>
            <w:r>
              <w:rPr>
                <w:rFonts w:ascii="Arial" w:hAnsi="Arial" w:eastAsia="Arial"/>
                <w:b/>
                <w:i w:val="0"/>
                <w:sz w:val="22"/>
              </w:rPr>
              <w:t>Geography</w:t>
            </w:r>
          </w:p>
        </w:tc>
        <w:tc>
          <w:tcPr>
            <w:tcW w:type="dxa" w:w="6480"/>
          </w:tcPr>
          <w:p>
            <w:r/>
            <w:r>
              <w:rPr>
                <w:rFonts w:ascii="Arial" w:hAnsi="Arial" w:eastAsia="Arial"/>
                <w:b w:val="0"/>
                <w:i w:val="0"/>
                <w:sz w:val="22"/>
              </w:rPr>
              <w:t>Primary: Luxembourg + Frankfurt; DR: Dublin. Some processing in Mauritius (Ops).</w:t>
            </w:r>
          </w:p>
        </w:tc>
      </w:tr>
    </w:tbl>
    <w:p/>
    <w:p>
      <w:pPr>
        <w:keepNext/>
        <w:spacing w:before="240" w:after="120"/>
      </w:pPr>
      <w:r>
        <w:rPr>
          <w:rFonts w:ascii="Arial" w:hAnsi="Arial" w:eastAsia="Arial"/>
          <w:b/>
          <w:i w:val="0"/>
          <w:color w:val="1F4E78"/>
          <w:sz w:val="32"/>
        </w:rPr>
        <w:t>1. Vendor Profile</w:t>
      </w:r>
    </w:p>
    <w:p>
      <w:pPr>
        <w:spacing w:after="120"/>
      </w:pPr>
      <w:r>
        <w:rPr>
          <w:rFonts w:ascii="Arial" w:hAnsi="Arial" w:eastAsia="Arial"/>
          <w:b w:val="0"/>
          <w:i w:val="0"/>
          <w:sz w:val="22"/>
        </w:rPr>
        <w:t>VerifyPro provides identity verification, KYC enrichment, sanctions and PEP screening, and adverse media monitoring for Aurora Investment Bank's onboarding and ongoing client due diligence (CDD) workflows. The service ingests customer identity documents (passports, national IDs, proof of address), performs OCR + biometric liveness, screens against global watchlists (OFAC, EU, UN, HMT, MAS, etc.) and returns risk scoring.</w:t>
      </w:r>
    </w:p>
    <w:p>
      <w:pPr>
        <w:keepNext/>
        <w:spacing w:before="120" w:after="40"/>
      </w:pPr>
      <w:r>
        <w:rPr>
          <w:rFonts w:ascii="Arial" w:hAnsi="Arial" w:eastAsia="Arial"/>
          <w:b/>
          <w:i w:val="0"/>
          <w:color w:val="404040"/>
          <w:sz w:val="22"/>
        </w:rPr>
        <w:t>Corporate</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Legal name</w:t>
            </w:r>
          </w:p>
        </w:tc>
        <w:tc>
          <w:tcPr>
            <w:tcW w:type="dxa" w:w="6480"/>
          </w:tcPr>
          <w:p>
            <w:r/>
            <w:r>
              <w:rPr>
                <w:rFonts w:ascii="Arial" w:hAnsi="Arial" w:eastAsia="Arial"/>
                <w:b w:val="0"/>
                <w:i w:val="0"/>
                <w:sz w:val="22"/>
              </w:rPr>
              <w:t>VerifyPro Compliance Solutions S.A.</w:t>
            </w:r>
          </w:p>
        </w:tc>
      </w:tr>
      <w:tr>
        <w:tc>
          <w:tcPr>
            <w:tcW w:type="dxa" w:w="2880"/>
          </w:tcPr>
          <w:p>
            <w:r/>
            <w:r>
              <w:rPr>
                <w:rFonts w:ascii="Arial" w:hAnsi="Arial" w:eastAsia="Arial"/>
                <w:b/>
                <w:i w:val="0"/>
                <w:sz w:val="22"/>
              </w:rPr>
              <w:t>Headquarters</w:t>
            </w:r>
          </w:p>
        </w:tc>
        <w:tc>
          <w:tcPr>
            <w:tcW w:type="dxa" w:w="6480"/>
          </w:tcPr>
          <w:p>
            <w:r/>
            <w:r>
              <w:rPr>
                <w:rFonts w:ascii="Arial" w:hAnsi="Arial" w:eastAsia="Arial"/>
                <w:b w:val="0"/>
                <w:i w:val="0"/>
                <w:sz w:val="22"/>
              </w:rPr>
              <w:t>Luxembourg</w:t>
            </w:r>
          </w:p>
        </w:tc>
      </w:tr>
      <w:tr>
        <w:tc>
          <w:tcPr>
            <w:tcW w:type="dxa" w:w="2880"/>
          </w:tcPr>
          <w:p>
            <w:r/>
            <w:r>
              <w:rPr>
                <w:rFonts w:ascii="Arial" w:hAnsi="Arial" w:eastAsia="Arial"/>
                <w:b/>
                <w:i w:val="0"/>
                <w:sz w:val="22"/>
              </w:rPr>
              <w:t>Incorporation</w:t>
            </w:r>
          </w:p>
        </w:tc>
        <w:tc>
          <w:tcPr>
            <w:tcW w:type="dxa" w:w="6480"/>
          </w:tcPr>
          <w:p>
            <w:r/>
            <w:r>
              <w:rPr>
                <w:rFonts w:ascii="Arial" w:hAnsi="Arial" w:eastAsia="Arial"/>
                <w:b w:val="0"/>
                <w:i w:val="0"/>
                <w:sz w:val="22"/>
              </w:rPr>
              <w:t>RCS Luxembourg B-198724</w:t>
            </w:r>
          </w:p>
        </w:tc>
      </w:tr>
      <w:tr>
        <w:tc>
          <w:tcPr>
            <w:tcW w:type="dxa" w:w="2880"/>
          </w:tcPr>
          <w:p>
            <w:r/>
            <w:r>
              <w:rPr>
                <w:rFonts w:ascii="Arial" w:hAnsi="Arial" w:eastAsia="Arial"/>
                <w:b/>
                <w:i w:val="0"/>
                <w:sz w:val="22"/>
              </w:rPr>
              <w:t>Founded</w:t>
            </w:r>
          </w:p>
        </w:tc>
        <w:tc>
          <w:tcPr>
            <w:tcW w:type="dxa" w:w="6480"/>
          </w:tcPr>
          <w:p>
            <w:r/>
            <w:r>
              <w:rPr>
                <w:rFonts w:ascii="Arial" w:hAnsi="Arial" w:eastAsia="Arial"/>
                <w:b w:val="0"/>
                <w:i w:val="0"/>
                <w:sz w:val="22"/>
              </w:rPr>
              <w:t>2012</w:t>
            </w:r>
          </w:p>
        </w:tc>
      </w:tr>
      <w:tr>
        <w:tc>
          <w:tcPr>
            <w:tcW w:type="dxa" w:w="2880"/>
          </w:tcPr>
          <w:p>
            <w:r/>
            <w:r>
              <w:rPr>
                <w:rFonts w:ascii="Arial" w:hAnsi="Arial" w:eastAsia="Arial"/>
                <w:b/>
                <w:i w:val="0"/>
                <w:sz w:val="22"/>
              </w:rPr>
              <w:t>Headcount</w:t>
            </w:r>
          </w:p>
        </w:tc>
        <w:tc>
          <w:tcPr>
            <w:tcW w:type="dxa" w:w="6480"/>
          </w:tcPr>
          <w:p>
            <w:r/>
            <w:r>
              <w:rPr>
                <w:rFonts w:ascii="Arial" w:hAnsi="Arial" w:eastAsia="Arial"/>
                <w:b w:val="0"/>
                <w:i w:val="0"/>
                <w:sz w:val="22"/>
              </w:rPr>
              <w:t>~620 FTEs</w:t>
            </w:r>
          </w:p>
        </w:tc>
      </w:tr>
      <w:tr>
        <w:tc>
          <w:tcPr>
            <w:tcW w:type="dxa" w:w="2880"/>
          </w:tcPr>
          <w:p>
            <w:r/>
            <w:r>
              <w:rPr>
                <w:rFonts w:ascii="Arial" w:hAnsi="Arial" w:eastAsia="Arial"/>
                <w:b/>
                <w:i w:val="0"/>
                <w:sz w:val="22"/>
              </w:rPr>
              <w:t>Website</w:t>
            </w:r>
          </w:p>
        </w:tc>
        <w:tc>
          <w:tcPr>
            <w:tcW w:type="dxa" w:w="6480"/>
          </w:tcPr>
          <w:p>
            <w:r/>
            <w:r>
              <w:rPr>
                <w:rFonts w:ascii="Arial" w:hAnsi="Arial" w:eastAsia="Arial"/>
                <w:b w:val="0"/>
                <w:i w:val="0"/>
                <w:sz w:val="22"/>
              </w:rPr>
              <w:t>https://www.verifypro.example.com</w:t>
            </w:r>
          </w:p>
        </w:tc>
      </w:tr>
    </w:tbl>
    <w:p/>
    <w:p>
      <w:pPr>
        <w:keepNext/>
        <w:spacing w:before="240" w:after="120"/>
      </w:pPr>
      <w:r>
        <w:rPr>
          <w:rFonts w:ascii="Arial" w:hAnsi="Arial" w:eastAsia="Arial"/>
          <w:b/>
          <w:i w:val="0"/>
          <w:color w:val="1F4E78"/>
          <w:sz w:val="32"/>
        </w:rPr>
        <w:t>2. Service in Scope</w:t>
      </w:r>
    </w:p>
    <w:p>
      <w:pPr>
        <w:spacing w:after="120"/>
      </w:pPr>
      <w:r>
        <w:rPr>
          <w:rFonts w:ascii="Arial" w:hAnsi="Arial" w:eastAsia="Arial"/>
          <w:b w:val="0"/>
          <w:i w:val="0"/>
          <w:sz w:val="22"/>
        </w:rPr>
        <w:t>VerifyPro provides identity verification, KYC enrichment, sanctions and PEP screening, and adverse media monitoring for Aurora Investment Bank's onboarding and ongoing client due diligence (CDD) workflows. The service ingests customer identity documents (passports, national IDs, proof of address), performs OCR + biometric liveness, screens against global watchlists (OFAC, EU, UN, HMT, MAS, etc.) and returns risk scoring.</w:t>
      </w:r>
    </w:p>
    <w:p>
      <w:pPr>
        <w:keepNext/>
        <w:spacing w:before="240" w:after="120"/>
      </w:pPr>
      <w:r>
        <w:rPr>
          <w:rFonts w:ascii="Arial" w:hAnsi="Arial" w:eastAsia="Arial"/>
          <w:b/>
          <w:i w:val="0"/>
          <w:color w:val="1F4E78"/>
          <w:sz w:val="32"/>
        </w:rPr>
        <w:t>3. Data Exchanged</w:t>
      </w:r>
    </w:p>
    <w:p>
      <w:pPr>
        <w:pStyle w:val="ListBullet"/>
      </w:pPr>
      <w:r>
        <w:rPr>
          <w:rFonts w:ascii="Arial" w:hAnsi="Arial" w:eastAsia="Arial"/>
          <w:b w:val="0"/>
          <w:i w:val="0"/>
          <w:sz w:val="22"/>
        </w:rPr>
        <w:t>Full client PII: name, DOB, nationality, address, government ID numbers</w:t>
      </w:r>
    </w:p>
    <w:p>
      <w:pPr>
        <w:pStyle w:val="ListBullet"/>
      </w:pPr>
      <w:r>
        <w:rPr>
          <w:rFonts w:ascii="Arial" w:hAnsi="Arial" w:eastAsia="Arial"/>
          <w:b w:val="0"/>
          <w:i w:val="0"/>
          <w:sz w:val="22"/>
        </w:rPr>
        <w:t>Identity documents: passport scans, national ID images, utility bills</w:t>
      </w:r>
    </w:p>
    <w:p>
      <w:pPr>
        <w:pStyle w:val="ListBullet"/>
      </w:pPr>
      <w:r>
        <w:rPr>
          <w:rFonts w:ascii="Arial" w:hAnsi="Arial" w:eastAsia="Arial"/>
          <w:b w:val="0"/>
          <w:i w:val="0"/>
          <w:sz w:val="22"/>
        </w:rPr>
        <w:t>Biometric data: facial images and liveness video frames</w:t>
      </w:r>
    </w:p>
    <w:p>
      <w:pPr>
        <w:pStyle w:val="ListBullet"/>
      </w:pPr>
      <w:r>
        <w:rPr>
          <w:rFonts w:ascii="Arial" w:hAnsi="Arial" w:eastAsia="Arial"/>
          <w:b w:val="0"/>
          <w:i w:val="0"/>
          <w:sz w:val="22"/>
        </w:rPr>
        <w:t>Beneficial ownership and corporate structure data</w:t>
      </w:r>
    </w:p>
    <w:p>
      <w:pPr>
        <w:pStyle w:val="ListBullet"/>
      </w:pPr>
      <w:r>
        <w:rPr>
          <w:rFonts w:ascii="Arial" w:hAnsi="Arial" w:eastAsia="Arial"/>
          <w:b w:val="0"/>
          <w:i w:val="0"/>
          <w:sz w:val="22"/>
        </w:rPr>
        <w:t>Transaction screening payloads for AML monitoring</w:t>
      </w:r>
    </w:p>
    <w:p>
      <w:pPr>
        <w:keepNext/>
        <w:spacing w:before="240" w:after="120"/>
      </w:pPr>
      <w:r>
        <w:rPr>
          <w:rFonts w:ascii="Arial" w:hAnsi="Arial" w:eastAsia="Arial"/>
          <w:b/>
          <w:i w:val="0"/>
          <w:color w:val="1F4E78"/>
          <w:sz w:val="32"/>
        </w:rPr>
        <w:t>4. Connectivity to Aurora Investment Bank</w:t>
      </w:r>
    </w:p>
    <w:p>
      <w:pPr>
        <w:pStyle w:val="ListBullet"/>
      </w:pPr>
      <w:r>
        <w:rPr>
          <w:rFonts w:ascii="Arial" w:hAnsi="Arial" w:eastAsia="Arial"/>
          <w:b w:val="0"/>
          <w:i w:val="0"/>
          <w:sz w:val="22"/>
        </w:rPr>
        <w:t>REST API over HTTPS (cloud-hosted, multi-tenant)</w:t>
      </w:r>
    </w:p>
    <w:p>
      <w:pPr>
        <w:pStyle w:val="ListBullet"/>
      </w:pPr>
      <w:r>
        <w:rPr>
          <w:rFonts w:ascii="Arial" w:hAnsi="Arial" w:eastAsia="Arial"/>
          <w:b w:val="0"/>
          <w:i w:val="0"/>
          <w:sz w:val="22"/>
        </w:rPr>
        <w:t>Daily/intraday SFTP batch screening for legacy bulk feeds</w:t>
      </w:r>
    </w:p>
    <w:p>
      <w:pPr>
        <w:pStyle w:val="ListBullet"/>
      </w:pPr>
      <w:r>
        <w:rPr>
          <w:rFonts w:ascii="Arial" w:hAnsi="Arial" w:eastAsia="Arial"/>
          <w:b w:val="0"/>
          <w:i w:val="0"/>
          <w:sz w:val="22"/>
        </w:rPr>
        <w:t>Webhook callbacks (HMAC-signed) for screening results</w:t>
      </w:r>
    </w:p>
    <w:p>
      <w:pPr>
        <w:pStyle w:val="ListBullet"/>
      </w:pPr>
      <w:r>
        <w:rPr>
          <w:rFonts w:ascii="Arial" w:hAnsi="Arial" w:eastAsia="Arial"/>
          <w:b w:val="0"/>
          <w:i w:val="0"/>
          <w:sz w:val="22"/>
        </w:rPr>
        <w:t>Web admin portal for analyst review</w:t>
      </w:r>
    </w:p>
    <w:p>
      <w:pPr>
        <w:keepNext/>
        <w:spacing w:before="240" w:after="120"/>
      </w:pPr>
      <w:r>
        <w:rPr>
          <w:rFonts w:ascii="Arial" w:hAnsi="Arial" w:eastAsia="Arial"/>
          <w:b/>
          <w:i w:val="0"/>
          <w:color w:val="1F4E78"/>
          <w:sz w:val="32"/>
        </w:rPr>
        <w:t>5. Sub-processors</w:t>
      </w:r>
    </w:p>
    <w:p>
      <w:pPr>
        <w:spacing w:after="120"/>
      </w:pPr>
      <w:r>
        <w:rPr>
          <w:rFonts w:ascii="Arial" w:hAnsi="Arial" w:eastAsia="Arial"/>
          <w:b w:val="0"/>
          <w:i w:val="0"/>
          <w:sz w:val="22"/>
        </w:rPr>
        <w:t>The following sub-processors support the service: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Arial" w:hAnsi="Arial" w:eastAsia="Arial"/>
                <w:b/>
                <w:i w:val="0"/>
                <w:color w:val="1F4E78"/>
                <w:sz w:val="22"/>
              </w:rPr>
              <w:t>Entity</w:t>
            </w:r>
          </w:p>
        </w:tc>
        <w:tc>
          <w:tcPr>
            <w:tcW w:type="dxa" w:w="3120"/>
          </w:tcPr>
          <w:p>
            <w:r/>
            <w:r>
              <w:rPr>
                <w:rFonts w:ascii="Arial" w:hAnsi="Arial" w:eastAsia="Arial"/>
                <w:b/>
                <w:i w:val="0"/>
                <w:color w:val="1F4E78"/>
                <w:sz w:val="22"/>
              </w:rPr>
              <w:t>Service</w:t>
            </w:r>
          </w:p>
        </w:tc>
        <w:tc>
          <w:tcPr>
            <w:tcW w:type="dxa" w:w="3120"/>
          </w:tcPr>
          <w:p>
            <w:r/>
            <w:r>
              <w:rPr>
                <w:rFonts w:ascii="Arial" w:hAnsi="Arial" w:eastAsia="Arial"/>
                <w:b/>
                <w:i w:val="0"/>
                <w:color w:val="1F4E78"/>
                <w:sz w:val="22"/>
              </w:rPr>
              <w:t>Location</w:t>
            </w:r>
          </w:p>
        </w:tc>
      </w:tr>
      <w:tr>
        <w:tc>
          <w:tcPr>
            <w:tcW w:type="dxa" w:w="3120"/>
          </w:tcPr>
          <w:p>
            <w:r/>
            <w:r>
              <w:rPr>
                <w:rFonts w:ascii="Arial" w:hAnsi="Arial" w:eastAsia="Arial"/>
                <w:b w:val="0"/>
                <w:i w:val="0"/>
                <w:sz w:val="20"/>
              </w:rPr>
              <w:t>Microsoft Ireland Operations Ltd.</w:t>
            </w:r>
          </w:p>
        </w:tc>
        <w:tc>
          <w:tcPr>
            <w:tcW w:type="dxa" w:w="3120"/>
          </w:tcPr>
          <w:p>
            <w:r/>
            <w:r>
              <w:rPr>
                <w:rFonts w:ascii="Arial" w:hAnsi="Arial" w:eastAsia="Arial"/>
                <w:b w:val="0"/>
                <w:i w:val="0"/>
                <w:sz w:val="20"/>
              </w:rPr>
              <w:t>Azure cloud hosting (EEA)</w:t>
            </w:r>
          </w:p>
        </w:tc>
        <w:tc>
          <w:tcPr>
            <w:tcW w:type="dxa" w:w="3120"/>
          </w:tcPr>
          <w:p>
            <w:r/>
            <w:r>
              <w:rPr>
                <w:rFonts w:ascii="Arial" w:hAnsi="Arial" w:eastAsia="Arial"/>
                <w:b w:val="0"/>
                <w:i w:val="0"/>
                <w:sz w:val="20"/>
              </w:rPr>
              <w:t>Ireland</w:t>
            </w:r>
          </w:p>
        </w:tc>
      </w:tr>
      <w:tr>
        <w:tc>
          <w:tcPr>
            <w:tcW w:type="dxa" w:w="3120"/>
          </w:tcPr>
          <w:p>
            <w:r/>
            <w:r>
              <w:rPr>
                <w:rFonts w:ascii="Arial" w:hAnsi="Arial" w:eastAsia="Arial"/>
                <w:b w:val="0"/>
                <w:i w:val="0"/>
                <w:sz w:val="20"/>
              </w:rPr>
              <w:t>Onfido Ltd.</w:t>
            </w:r>
          </w:p>
        </w:tc>
        <w:tc>
          <w:tcPr>
            <w:tcW w:type="dxa" w:w="3120"/>
          </w:tcPr>
          <w:p>
            <w:r/>
            <w:r>
              <w:rPr>
                <w:rFonts w:ascii="Arial" w:hAnsi="Arial" w:eastAsia="Arial"/>
                <w:b w:val="0"/>
                <w:i w:val="0"/>
                <w:sz w:val="20"/>
              </w:rPr>
              <w:t>Document &amp; biometric verification (sub-supplier)</w:t>
            </w:r>
          </w:p>
        </w:tc>
        <w:tc>
          <w:tcPr>
            <w:tcW w:type="dxa" w:w="3120"/>
          </w:tcPr>
          <w:p>
            <w:r/>
            <w:r>
              <w:rPr>
                <w:rFonts w:ascii="Arial" w:hAnsi="Arial" w:eastAsia="Arial"/>
                <w:b w:val="0"/>
                <w:i w:val="0"/>
                <w:sz w:val="20"/>
              </w:rPr>
              <w:t>United Kingdom</w:t>
            </w:r>
          </w:p>
        </w:tc>
      </w:tr>
      <w:tr>
        <w:tc>
          <w:tcPr>
            <w:tcW w:type="dxa" w:w="3120"/>
          </w:tcPr>
          <w:p>
            <w:r/>
            <w:r>
              <w:rPr>
                <w:rFonts w:ascii="Arial" w:hAnsi="Arial" w:eastAsia="Arial"/>
                <w:b w:val="0"/>
                <w:i w:val="0"/>
                <w:sz w:val="20"/>
              </w:rPr>
              <w:t>LexisNexis Risk Solutions</w:t>
            </w:r>
          </w:p>
        </w:tc>
        <w:tc>
          <w:tcPr>
            <w:tcW w:type="dxa" w:w="3120"/>
          </w:tcPr>
          <w:p>
            <w:r/>
            <w:r>
              <w:rPr>
                <w:rFonts w:ascii="Arial" w:hAnsi="Arial" w:eastAsia="Arial"/>
                <w:b w:val="0"/>
                <w:i w:val="0"/>
                <w:sz w:val="20"/>
              </w:rPr>
              <w:t>Watchlist data feed</w:t>
            </w:r>
          </w:p>
        </w:tc>
        <w:tc>
          <w:tcPr>
            <w:tcW w:type="dxa" w:w="3120"/>
          </w:tcPr>
          <w:p>
            <w:r/>
            <w:r>
              <w:rPr>
                <w:rFonts w:ascii="Arial" w:hAnsi="Arial" w:eastAsia="Arial"/>
                <w:b w:val="0"/>
                <w:i w:val="0"/>
                <w:sz w:val="20"/>
              </w:rPr>
              <w:t>United States</w:t>
            </w:r>
          </w:p>
        </w:tc>
      </w:tr>
      <w:tr>
        <w:tc>
          <w:tcPr>
            <w:tcW w:type="dxa" w:w="3120"/>
          </w:tcPr>
          <w:p>
            <w:r/>
            <w:r>
              <w:rPr>
                <w:rFonts w:ascii="Arial" w:hAnsi="Arial" w:eastAsia="Arial"/>
                <w:b w:val="0"/>
                <w:i w:val="0"/>
                <w:sz w:val="20"/>
              </w:rPr>
              <w:t>VerifyPro Operations (Mauritius) Ltd.</w:t>
            </w:r>
          </w:p>
        </w:tc>
        <w:tc>
          <w:tcPr>
            <w:tcW w:type="dxa" w:w="3120"/>
          </w:tcPr>
          <w:p>
            <w:r/>
            <w:r>
              <w:rPr>
                <w:rFonts w:ascii="Arial" w:hAnsi="Arial" w:eastAsia="Arial"/>
                <w:b w:val="0"/>
                <w:i w:val="0"/>
                <w:sz w:val="20"/>
              </w:rPr>
              <w:t>Manual review of KYC exceptions</w:t>
            </w:r>
          </w:p>
        </w:tc>
        <w:tc>
          <w:tcPr>
            <w:tcW w:type="dxa" w:w="3120"/>
          </w:tcPr>
          <w:p>
            <w:r/>
            <w:r>
              <w:rPr>
                <w:rFonts w:ascii="Arial" w:hAnsi="Arial" w:eastAsia="Arial"/>
                <w:b w:val="0"/>
                <w:i w:val="0"/>
                <w:sz w:val="20"/>
              </w:rPr>
              <w:t>Mauritius</w:t>
            </w:r>
          </w:p>
        </w:tc>
      </w:tr>
      <w:tr>
        <w:tc>
          <w:tcPr>
            <w:tcW w:type="dxa" w:w="3120"/>
          </w:tcPr>
          <w:p>
            <w:r/>
            <w:r>
              <w:rPr>
                <w:rFonts w:ascii="Arial" w:hAnsi="Arial" w:eastAsia="Arial"/>
                <w:b w:val="0"/>
                <w:i w:val="0"/>
                <w:sz w:val="20"/>
              </w:rPr>
              <w:t>Twilio Ireland Ltd.</w:t>
            </w:r>
          </w:p>
        </w:tc>
        <w:tc>
          <w:tcPr>
            <w:tcW w:type="dxa" w:w="3120"/>
          </w:tcPr>
          <w:p>
            <w:r/>
            <w:r>
              <w:rPr>
                <w:rFonts w:ascii="Arial" w:hAnsi="Arial" w:eastAsia="Arial"/>
                <w:b w:val="0"/>
                <w:i w:val="0"/>
                <w:sz w:val="20"/>
              </w:rPr>
              <w:t>SMS OTP</w:t>
            </w:r>
          </w:p>
        </w:tc>
        <w:tc>
          <w:tcPr>
            <w:tcW w:type="dxa" w:w="3120"/>
          </w:tcPr>
          <w:p>
            <w:r/>
            <w:r>
              <w:rPr>
                <w:rFonts w:ascii="Arial" w:hAnsi="Arial" w:eastAsia="Arial"/>
                <w:b w:val="0"/>
                <w:i w:val="0"/>
                <w:sz w:val="20"/>
              </w:rPr>
              <w:t>Ireland</w:t>
            </w:r>
          </w:p>
        </w:tc>
      </w:tr>
    </w:tbl>
    <w:p/>
    <w:p>
      <w:pPr>
        <w:keepNext/>
        <w:spacing w:before="240" w:after="120"/>
      </w:pPr>
      <w:r>
        <w:rPr>
          <w:rFonts w:ascii="Arial" w:hAnsi="Arial" w:eastAsia="Arial"/>
          <w:b/>
          <w:i w:val="0"/>
          <w:color w:val="1F4E78"/>
          <w:sz w:val="32"/>
        </w:rPr>
        <w:t>6. Certifications and Attestations Provided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eastAsia="Arial"/>
                <w:b/>
                <w:i w:val="0"/>
                <w:color w:val="1F4E78"/>
                <w:sz w:val="20"/>
              </w:rPr>
              <w:t>Standard / Report</w:t>
            </w:r>
          </w:p>
        </w:tc>
        <w:tc>
          <w:tcPr>
            <w:tcW w:type="dxa" w:w="1872"/>
          </w:tcPr>
          <w:p>
            <w:r/>
            <w:r>
              <w:rPr>
                <w:rFonts w:ascii="Arial" w:hAnsi="Arial" w:eastAsia="Arial"/>
                <w:b/>
                <w:i w:val="0"/>
                <w:color w:val="1F4E78"/>
                <w:sz w:val="20"/>
              </w:rPr>
              <w:t>Issuing Body</w:t>
            </w:r>
          </w:p>
        </w:tc>
        <w:tc>
          <w:tcPr>
            <w:tcW w:type="dxa" w:w="1872"/>
          </w:tcPr>
          <w:p>
            <w:r/>
            <w:r>
              <w:rPr>
                <w:rFonts w:ascii="Arial" w:hAnsi="Arial" w:eastAsia="Arial"/>
                <w:b/>
                <w:i w:val="0"/>
                <w:color w:val="1F4E78"/>
                <w:sz w:val="20"/>
              </w:rPr>
              <w:t>Reference / ID</w:t>
            </w:r>
          </w:p>
        </w:tc>
        <w:tc>
          <w:tcPr>
            <w:tcW w:type="dxa" w:w="1872"/>
          </w:tcPr>
          <w:p>
            <w:r/>
            <w:r>
              <w:rPr>
                <w:rFonts w:ascii="Arial" w:hAnsi="Arial" w:eastAsia="Arial"/>
                <w:b/>
                <w:i w:val="0"/>
                <w:color w:val="1F4E78"/>
                <w:sz w:val="20"/>
              </w:rPr>
              <w:t>Issued / Period Start</w:t>
            </w:r>
          </w:p>
        </w:tc>
        <w:tc>
          <w:tcPr>
            <w:tcW w:type="dxa" w:w="1872"/>
          </w:tcPr>
          <w:p>
            <w:r/>
            <w:r>
              <w:rPr>
                <w:rFonts w:ascii="Arial" w:hAnsi="Arial" w:eastAsia="Arial"/>
                <w:b/>
                <w:i w:val="0"/>
                <w:color w:val="1F4E78"/>
                <w:sz w:val="20"/>
              </w:rPr>
              <w:t>Expiry / Period End</w:t>
            </w:r>
          </w:p>
        </w:tc>
      </w:tr>
      <w:tr>
        <w:tc>
          <w:tcPr>
            <w:tcW w:type="dxa" w:w="1872"/>
          </w:tcPr>
          <w:p>
            <w:r/>
            <w:r>
              <w:rPr>
                <w:rFonts w:ascii="Arial" w:hAnsi="Arial" w:eastAsia="Arial"/>
                <w:b w:val="0"/>
                <w:i w:val="0"/>
                <w:sz w:val="18"/>
              </w:rPr>
              <w:t>ISO/IEC 27001:2013</w:t>
            </w:r>
          </w:p>
        </w:tc>
        <w:tc>
          <w:tcPr>
            <w:tcW w:type="dxa" w:w="1872"/>
          </w:tcPr>
          <w:p>
            <w:r/>
            <w:r>
              <w:rPr>
                <w:rFonts w:ascii="Arial" w:hAnsi="Arial" w:eastAsia="Arial"/>
                <w:b w:val="0"/>
                <w:i w:val="0"/>
                <w:sz w:val="18"/>
              </w:rPr>
              <w:t>TUV Rheinland</w:t>
            </w:r>
          </w:p>
        </w:tc>
        <w:tc>
          <w:tcPr>
            <w:tcW w:type="dxa" w:w="1872"/>
          </w:tcPr>
          <w:p>
            <w:r/>
            <w:r>
              <w:rPr>
                <w:rFonts w:ascii="Arial" w:hAnsi="Arial" w:eastAsia="Arial"/>
                <w:b w:val="0"/>
                <w:i w:val="0"/>
                <w:sz w:val="18"/>
              </w:rPr>
              <w:t>EU-22-09-117</w:t>
            </w:r>
          </w:p>
        </w:tc>
        <w:tc>
          <w:tcPr>
            <w:tcW w:type="dxa" w:w="1872"/>
          </w:tcPr>
          <w:p>
            <w:r/>
            <w:r>
              <w:rPr>
                <w:rFonts w:ascii="Arial" w:hAnsi="Arial" w:eastAsia="Arial"/>
                <w:b w:val="0"/>
                <w:i w:val="0"/>
                <w:sz w:val="18"/>
              </w:rPr>
              <w:t>2023-02-04</w:t>
            </w:r>
          </w:p>
        </w:tc>
        <w:tc>
          <w:tcPr>
            <w:tcW w:type="dxa" w:w="1872"/>
          </w:tcPr>
          <w:p>
            <w:r/>
            <w:r>
              <w:rPr>
                <w:rFonts w:ascii="Arial" w:hAnsi="Arial" w:eastAsia="Arial"/>
                <w:b w:val="0"/>
                <w:i w:val="0"/>
                <w:sz w:val="18"/>
              </w:rPr>
              <w:t>2026-02-03</w:t>
            </w:r>
          </w:p>
        </w:tc>
      </w:tr>
      <w:tr>
        <w:tc>
          <w:tcPr>
            <w:tcW w:type="dxa" w:w="1872"/>
          </w:tcPr>
          <w:p>
            <w:r/>
            <w:r>
              <w:rPr>
                <w:rFonts w:ascii="Arial" w:hAnsi="Arial" w:eastAsia="Arial"/>
                <w:b w:val="0"/>
                <w:i w:val="0"/>
                <w:sz w:val="18"/>
              </w:rPr>
              <w:t>SOC 2 Type II</w:t>
            </w:r>
          </w:p>
        </w:tc>
        <w:tc>
          <w:tcPr>
            <w:tcW w:type="dxa" w:w="1872"/>
          </w:tcPr>
          <w:p>
            <w:r/>
            <w:r>
              <w:rPr>
                <w:rFonts w:ascii="Arial" w:hAnsi="Arial" w:eastAsia="Arial"/>
                <w:b w:val="0"/>
                <w:i w:val="0"/>
                <w:sz w:val="18"/>
              </w:rPr>
              <w:t>Mazars LLP</w:t>
            </w:r>
          </w:p>
        </w:tc>
        <w:tc>
          <w:tcPr>
            <w:tcW w:type="dxa" w:w="1872"/>
          </w:tcPr>
          <w:p>
            <w:r/>
            <w:r>
              <w:rPr>
                <w:rFonts w:ascii="Arial" w:hAnsi="Arial" w:eastAsia="Arial"/>
                <w:b w:val="0"/>
                <w:i w:val="0"/>
                <w:sz w:val="18"/>
              </w:rPr>
              <w:t>SOC2-VP-2024</w:t>
            </w:r>
          </w:p>
        </w:tc>
        <w:tc>
          <w:tcPr>
            <w:tcW w:type="dxa" w:w="1872"/>
          </w:tcPr>
          <w:p>
            <w:r/>
            <w:r>
              <w:rPr>
                <w:rFonts w:ascii="Arial" w:hAnsi="Arial" w:eastAsia="Arial"/>
                <w:b w:val="0"/>
                <w:i w:val="0"/>
                <w:sz w:val="18"/>
              </w:rPr>
              <w:t>2024-10-31</w:t>
            </w:r>
          </w:p>
        </w:tc>
        <w:tc>
          <w:tcPr>
            <w:tcW w:type="dxa" w:w="1872"/>
          </w:tcPr>
          <w:p>
            <w:r/>
            <w:r>
              <w:rPr>
                <w:rFonts w:ascii="Arial" w:hAnsi="Arial" w:eastAsia="Arial"/>
                <w:b w:val="0"/>
                <w:i w:val="0"/>
                <w:sz w:val="18"/>
              </w:rPr>
              <w:t>Annual</w:t>
            </w:r>
          </w:p>
        </w:tc>
      </w:tr>
      <w:tr>
        <w:tc>
          <w:tcPr>
            <w:tcW w:type="dxa" w:w="1872"/>
          </w:tcPr>
          <w:p>
            <w:r/>
            <w:r>
              <w:rPr>
                <w:rFonts w:ascii="Arial" w:hAnsi="Arial" w:eastAsia="Arial"/>
                <w:b w:val="0"/>
                <w:i w:val="0"/>
                <w:sz w:val="18"/>
              </w:rPr>
              <w:t>eIDAS QTSP (limited scope)</w:t>
            </w:r>
          </w:p>
        </w:tc>
        <w:tc>
          <w:tcPr>
            <w:tcW w:type="dxa" w:w="1872"/>
          </w:tcPr>
          <w:p>
            <w:r/>
            <w:r>
              <w:rPr>
                <w:rFonts w:ascii="Arial" w:hAnsi="Arial" w:eastAsia="Arial"/>
                <w:b w:val="0"/>
                <w:i w:val="0"/>
                <w:sz w:val="18"/>
              </w:rPr>
              <w:t>ETSI</w:t>
            </w:r>
          </w:p>
        </w:tc>
        <w:tc>
          <w:tcPr>
            <w:tcW w:type="dxa" w:w="1872"/>
          </w:tcPr>
          <w:p>
            <w:r/>
            <w:r>
              <w:rPr>
                <w:rFonts w:ascii="Arial" w:hAnsi="Arial" w:eastAsia="Arial"/>
                <w:b w:val="0"/>
                <w:i w:val="0"/>
                <w:sz w:val="18"/>
              </w:rPr>
              <w:t>ETSI-QTSP-2024-1129</w:t>
            </w:r>
          </w:p>
        </w:tc>
        <w:tc>
          <w:tcPr>
            <w:tcW w:type="dxa" w:w="1872"/>
          </w:tcPr>
          <w:p>
            <w:r/>
            <w:r>
              <w:rPr>
                <w:rFonts w:ascii="Arial" w:hAnsi="Arial" w:eastAsia="Arial"/>
                <w:b w:val="0"/>
                <w:i w:val="0"/>
                <w:sz w:val="18"/>
              </w:rPr>
              <w:t>2024-12-15</w:t>
            </w:r>
          </w:p>
        </w:tc>
        <w:tc>
          <w:tcPr>
            <w:tcW w:type="dxa" w:w="1872"/>
          </w:tcPr>
          <w:p>
            <w:r/>
            <w:r>
              <w:rPr>
                <w:rFonts w:ascii="Arial" w:hAnsi="Arial" w:eastAsia="Arial"/>
                <w:b w:val="0"/>
                <w:i w:val="0"/>
                <w:sz w:val="18"/>
              </w:rPr>
              <w:t>2026-12-14</w:t>
            </w:r>
          </w:p>
        </w:tc>
      </w:tr>
    </w:tbl>
    <w:p/>
    <w:p>
      <w:pPr>
        <w:keepNext/>
        <w:spacing w:before="240" w:after="120"/>
      </w:pPr>
      <w:r>
        <w:rPr>
          <w:rFonts w:ascii="Arial" w:hAnsi="Arial" w:eastAsia="Arial"/>
          <w:b/>
          <w:i w:val="0"/>
          <w:color w:val="1F4E78"/>
          <w:sz w:val="32"/>
        </w:rPr>
        <w:t>7. Inherent Risk Assessment Inputs</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Service criticality</w:t>
            </w:r>
          </w:p>
        </w:tc>
        <w:tc>
          <w:tcPr>
            <w:tcW w:type="dxa" w:w="6480"/>
          </w:tcPr>
          <w:p>
            <w:r/>
            <w:r>
              <w:rPr>
                <w:rFonts w:ascii="Arial" w:hAnsi="Arial" w:eastAsia="Arial"/>
                <w:b w:val="0"/>
                <w:i w:val="0"/>
                <w:sz w:val="22"/>
              </w:rPr>
              <w:t>Tier 1 - Critical</w:t>
            </w:r>
          </w:p>
        </w:tc>
      </w:tr>
      <w:tr>
        <w:tc>
          <w:tcPr>
            <w:tcW w:type="dxa" w:w="2880"/>
          </w:tcPr>
          <w:p>
            <w:r/>
            <w:r>
              <w:rPr>
                <w:rFonts w:ascii="Arial" w:hAnsi="Arial" w:eastAsia="Arial"/>
                <w:b/>
                <w:i w:val="0"/>
                <w:sz w:val="22"/>
              </w:rPr>
              <w:t>Data classification</w:t>
            </w:r>
          </w:p>
        </w:tc>
        <w:tc>
          <w:tcPr>
            <w:tcW w:type="dxa" w:w="6480"/>
          </w:tcPr>
          <w:p>
            <w:r/>
            <w:r>
              <w:rPr>
                <w:rFonts w:ascii="Arial" w:hAnsi="Arial" w:eastAsia="Arial"/>
                <w:b w:val="0"/>
                <w:i w:val="0"/>
                <w:sz w:val="22"/>
              </w:rPr>
              <w:t>Highly Confidential / PII / Special Category Data</w:t>
            </w:r>
          </w:p>
        </w:tc>
      </w:tr>
      <w:tr>
        <w:tc>
          <w:tcPr>
            <w:tcW w:type="dxa" w:w="2880"/>
          </w:tcPr>
          <w:p>
            <w:r/>
            <w:r>
              <w:rPr>
                <w:rFonts w:ascii="Arial" w:hAnsi="Arial" w:eastAsia="Arial"/>
                <w:b/>
                <w:i w:val="0"/>
                <w:sz w:val="22"/>
              </w:rPr>
              <w:t>Geographic data flow</w:t>
            </w:r>
          </w:p>
        </w:tc>
        <w:tc>
          <w:tcPr>
            <w:tcW w:type="dxa" w:w="6480"/>
          </w:tcPr>
          <w:p>
            <w:r/>
            <w:r>
              <w:rPr>
                <w:rFonts w:ascii="Arial" w:hAnsi="Arial" w:eastAsia="Arial"/>
                <w:b w:val="0"/>
                <w:i w:val="0"/>
                <w:sz w:val="22"/>
              </w:rPr>
              <w:t>Primary: Luxembourg + Frankfurt; DR: Dublin. Some processing in Mauritius (Ops).</w:t>
            </w:r>
          </w:p>
        </w:tc>
      </w:tr>
      <w:tr>
        <w:tc>
          <w:tcPr>
            <w:tcW w:type="dxa" w:w="2880"/>
          </w:tcPr>
          <w:p>
            <w:r/>
            <w:r>
              <w:rPr>
                <w:rFonts w:ascii="Arial" w:hAnsi="Arial" w:eastAsia="Arial"/>
                <w:b/>
                <w:i w:val="0"/>
                <w:sz w:val="22"/>
              </w:rPr>
              <w:t>Sub-processor concentration</w:t>
            </w:r>
          </w:p>
        </w:tc>
        <w:tc>
          <w:tcPr>
            <w:tcW w:type="dxa" w:w="6480"/>
          </w:tcPr>
          <w:p>
            <w:r/>
            <w:r>
              <w:rPr>
                <w:rFonts w:ascii="Arial" w:hAnsi="Arial" w:eastAsia="Arial"/>
                <w:b w:val="0"/>
                <w:i w:val="0"/>
                <w:sz w:val="22"/>
              </w:rPr>
              <w:t>5 disclosed sub-processors</w:t>
            </w:r>
          </w:p>
        </w:tc>
      </w:tr>
      <w:tr>
        <w:tc>
          <w:tcPr>
            <w:tcW w:type="dxa" w:w="2880"/>
          </w:tcPr>
          <w:p>
            <w:r/>
            <w:r>
              <w:rPr>
                <w:rFonts w:ascii="Arial" w:hAnsi="Arial" w:eastAsia="Arial"/>
                <w:b/>
                <w:i w:val="0"/>
                <w:sz w:val="22"/>
              </w:rPr>
              <w:t>Connectivity model</w:t>
            </w:r>
          </w:p>
        </w:tc>
        <w:tc>
          <w:tcPr>
            <w:tcW w:type="dxa" w:w="6480"/>
          </w:tcPr>
          <w:p>
            <w:r/>
            <w:r>
              <w:rPr>
                <w:rFonts w:ascii="Arial" w:hAnsi="Arial" w:eastAsia="Arial"/>
                <w:b w:val="0"/>
                <w:i w:val="0"/>
                <w:sz w:val="22"/>
              </w:rPr>
              <w:t>Multi-channel (see section 4)</w:t>
            </w:r>
          </w:p>
        </w:tc>
      </w:tr>
      <w:tr>
        <w:tc>
          <w:tcPr>
            <w:tcW w:type="dxa" w:w="2880"/>
          </w:tcPr>
          <w:p>
            <w:r/>
            <w:r>
              <w:rPr>
                <w:rFonts w:ascii="Arial" w:hAnsi="Arial" w:eastAsia="Arial"/>
                <w:b/>
                <w:i w:val="0"/>
                <w:sz w:val="22"/>
              </w:rPr>
              <w:t>Operating maturity (vendor self-asserted)</w:t>
            </w:r>
          </w:p>
        </w:tc>
        <w:tc>
          <w:tcPr>
            <w:tcW w:type="dxa" w:w="6480"/>
          </w:tcPr>
          <w:p>
            <w:r/>
            <w:r>
              <w:rPr>
                <w:rFonts w:ascii="Arial" w:hAnsi="Arial" w:eastAsia="Arial"/>
                <w:b w:val="0"/>
                <w:i w:val="0"/>
                <w:sz w:val="22"/>
              </w:rPr>
              <w:t>Moderate</w:t>
            </w:r>
          </w:p>
        </w:tc>
      </w:tr>
    </w:tbl>
    <w:p/>
    <w:p>
      <w:pPr>
        <w:spacing w:after="120"/>
      </w:pPr>
      <w:r>
        <w:rPr>
          <w:rFonts w:ascii="Arial" w:hAnsi="Arial" w:eastAsia="Arial"/>
          <w:b/>
          <w:i w:val="0"/>
          <w:color w:val="1F4E78"/>
          <w:sz w:val="22"/>
        </w:rPr>
        <w:t>&lt;&lt;Vendor inherent risk pre-mitigation&gt;&gt;: Very High</w:t>
      </w:r>
    </w:p>
    <w:p>
      <w:pPr>
        <w:spacing w:after="120"/>
      </w:pPr>
      <w:r>
        <w:rPr>
          <w:rFonts w:ascii="Arial" w:hAnsi="Arial" w:eastAsia="Arial"/>
          <w:b/>
          <w:i w:val="0"/>
          <w:color w:val="1F4E78"/>
          <w:sz w:val="22"/>
        </w:rPr>
        <w:t>&lt;&lt;Vendor residual risk after evidenced controls&gt;&gt;: High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