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1F3A5F"/>
          <w:sz w:val="40"/>
          <w:szCs w:val="40"/>
        </w:rPr>
        <w:t xml:space="preserve">Third Party Engagement Summary</w:t>
      </w:r>
    </w:p>
    <w:p>
      <w:pPr>
        <w:pBdr>
          <w:bottom w:val="single" w:color="1F3A5F" w:sz="8" w:space="6"/>
        </w:pBdr>
        <w:spacing w:after="400"/>
      </w:pPr>
      <w:r>
        <w:rPr>
          <w:rFonts w:ascii="Arial" w:cs="Arial" w:eastAsia="Arial" w:hAnsi="Arial"/>
          <w:color w:val="595959"/>
          <w:sz w:val="24"/>
          <w:szCs w:val="24"/>
        </w:rPr>
        <w:t xml:space="preserve">Veltrix Onboard Pte. Ltd. — Inherent Risk Profile and Evidence Index</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800"/>
        <w:gridCol w:w="6560"/>
      </w:tblGrid>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Prepared by</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Third Party Risk Management, Northgate Bank (Asia) Limited</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Business owner</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Head of Client Lifecycle Management, Corporate &amp; Investment Banking APAC</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Third party</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Veltrix Onboard Pte. Ltd. (UEN 201712345K), Singapore</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Assessment type</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Annual reassessment — inherent risk profile and control evidence review</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Assessment date</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2 September 2026</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Document status</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Final — input to the TPRM assessment</w:t>
            </w:r>
          </w:p>
        </w:tc>
      </w:tr>
    </w:tbl>
    <w:p>
      <w:pPr>
        <w:spacing w:after="120" w:before="0"/>
      </w:pPr>
      <w:r>
        <w:rPr>
          <w:rFonts w:ascii="Arial" w:cs="Arial" w:eastAsia="Arial" w:hAnsi="Arial"/>
          <w:sz w:val="21"/>
          <w:szCs w:val="21"/>
        </w:rPr>
        <w:t xml:space="preserve"/>
      </w:r>
    </w:p>
    <w:p>
      <w:pPr>
        <w:pStyle w:val="Heading1"/>
        <w:spacing w:after="140" w:before="320"/>
      </w:pPr>
      <w:r>
        <w:rPr>
          <w:rFonts w:ascii="Arial" w:cs="Arial" w:eastAsia="Arial" w:hAnsi="Arial"/>
        </w:rPr>
        <w:t xml:space="preserve">1. Purpose</w:t>
      </w:r>
    </w:p>
    <w:p>
      <w:pPr>
        <w:spacing w:after="120" w:before="0"/>
      </w:pPr>
      <w:r>
        <w:rPr>
          <w:rFonts w:ascii="Arial" w:cs="Arial" w:eastAsia="Arial" w:hAnsi="Arial"/>
          <w:sz w:val="21"/>
          <w:szCs w:val="21"/>
        </w:rPr>
        <w:t xml:space="preserve">This document summarises the engagement between Northgate Bank (Asia) Limited (the "Bank") and Veltrix Onboard Pte. Ltd. ("Veltrix") and records the facts required to perform the inherent risk assessment of the arrangement. Section 12 lists the evidence provided by Veltrix for the control assessment. Facts in Sections 2 to 7 were provided by Veltrix during the annual due-diligence call on 18 August 2026 and confirmed by the Bank's business owner; contractual facts in Section 10 are extracted from the executed Master Services Agreement.</w:t>
      </w:r>
    </w:p>
    <w:p>
      <w:pPr>
        <w:pStyle w:val="Heading1"/>
        <w:spacing w:after="140" w:before="320"/>
      </w:pPr>
      <w:r>
        <w:rPr>
          <w:rFonts w:ascii="Arial" w:cs="Arial" w:eastAsia="Arial" w:hAnsi="Arial"/>
        </w:rPr>
        <w:t xml:space="preserve">2. Third party overview</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800"/>
        <w:gridCol w:w="6560"/>
      </w:tblGrid>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Legal name</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Veltrix Onboard Pte. Ltd.</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Registered address</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71 Robinson Road, #14-01, Singapore 068895</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Founded</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2017</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Ownership</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Privately held; Series C (2023) led by Meridian Growth Partners. Founders retain 31%.</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Group entities</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Veltrix Technologies India Pvt. Ltd. (Pune) — wholly owned engineering subsidiary, 96 staff</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Headcount</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210 (Singapore 84, Pune 96, remote 30)</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Revenue (FY2025)</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USD 28.4 million; profitable since FY2024</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Customer base</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Approximately 40 financial institutions in APAC and Europe. The Bank is Veltrix's largest customer, representing approximately 11% of annual recurring revenue.</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Key contacts</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Chief Executive Officer: Daniel Koh · Chief Technology Officer: Priya Raman · Head of Security &amp; Compliance: Marcus Lim</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Certifications claimed</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ISO/IEC 27001:2022 (see questionnaire for certificate status); SOC 2 Type II (Security, Availability, Confidentiality)</w:t>
            </w:r>
          </w:p>
        </w:tc>
      </w:tr>
    </w:tbl>
    <w:p>
      <w:pPr>
        <w:pStyle w:val="Heading1"/>
        <w:spacing w:after="140" w:before="320"/>
      </w:pPr>
      <w:r>
        <w:rPr>
          <w:rFonts w:ascii="Arial" w:cs="Arial" w:eastAsia="Arial" w:hAnsi="Arial"/>
        </w:rPr>
        <w:t xml:space="preserve">3. Service description</w:t>
      </w:r>
    </w:p>
    <w:p>
      <w:pPr>
        <w:spacing w:after="120" w:before="0"/>
      </w:pPr>
      <w:r>
        <w:rPr>
          <w:rFonts w:ascii="Arial" w:cs="Arial" w:eastAsia="Arial" w:hAnsi="Arial"/>
          <w:sz w:val="21"/>
          <w:szCs w:val="21"/>
        </w:rPr>
        <w:t xml:space="preserve">Veltrix Onboard is a multi-tenant software-as-a-service platform for the onboarding of corporate clients by financial institutions. The Bank uses the following modules:</w:t>
      </w:r>
    </w:p>
    <w:p>
      <w:pPr>
        <w:pStyle w:val="ListParagraph"/>
        <w:numPr>
          <w:ilvl w:val="0"/>
          <w:numId w:val="2"/>
        </w:numPr>
        <w:spacing w:after="60"/>
      </w:pPr>
      <w:r>
        <w:rPr>
          <w:rFonts w:ascii="Arial" w:cs="Arial" w:eastAsia="Arial" w:hAnsi="Arial"/>
          <w:sz w:val="21"/>
          <w:szCs w:val="21"/>
        </w:rPr>
        <w:t xml:space="preserve">Client Data Capture — structured collection of corporate entity data, ownership structures and beneficial-owner details, including passport and national ID images.</w:t>
      </w:r>
    </w:p>
    <w:p>
      <w:pPr>
        <w:pStyle w:val="ListParagraph"/>
        <w:numPr>
          <w:ilvl w:val="0"/>
          <w:numId w:val="2"/>
        </w:numPr>
        <w:spacing w:after="60"/>
      </w:pPr>
      <w:r>
        <w:rPr>
          <w:rFonts w:ascii="Arial" w:cs="Arial" w:eastAsia="Arial" w:hAnsi="Arial"/>
          <w:sz w:val="21"/>
          <w:szCs w:val="21"/>
        </w:rPr>
        <w:t xml:space="preserve">Document Vault — storage of KYC/CDD documents (constitutional documents, proof of address, source-of-wealth documentation, board resolutions).</w:t>
      </w:r>
    </w:p>
    <w:p>
      <w:pPr>
        <w:pStyle w:val="ListParagraph"/>
        <w:numPr>
          <w:ilvl w:val="0"/>
          <w:numId w:val="2"/>
        </w:numPr>
        <w:spacing w:after="60"/>
      </w:pPr>
      <w:r>
        <w:rPr>
          <w:rFonts w:ascii="Arial" w:cs="Arial" w:eastAsia="Arial" w:hAnsi="Arial"/>
          <w:sz w:val="21"/>
          <w:szCs w:val="21"/>
        </w:rPr>
        <w:t xml:space="preserve">Screening — sanctions, PEP and adverse-media screening of entities and related individuals against third-party watch-list data, with alert disposition and audit trail.</w:t>
      </w:r>
    </w:p>
    <w:p>
      <w:pPr>
        <w:pStyle w:val="ListParagraph"/>
        <w:numPr>
          <w:ilvl w:val="0"/>
          <w:numId w:val="2"/>
        </w:numPr>
        <w:spacing w:after="60"/>
      </w:pPr>
      <w:r>
        <w:rPr>
          <w:rFonts w:ascii="Arial" w:cs="Arial" w:eastAsia="Arial" w:hAnsi="Arial"/>
          <w:sz w:val="21"/>
          <w:szCs w:val="21"/>
        </w:rPr>
        <w:t xml:space="preserve">Case Management — workflow for relationship managers, KYC analysts and compliance approvers, including periodic review scheduling.</w:t>
      </w:r>
    </w:p>
    <w:p>
      <w:pPr>
        <w:pStyle w:val="ListParagraph"/>
        <w:numPr>
          <w:ilvl w:val="0"/>
          <w:numId w:val="2"/>
        </w:numPr>
        <w:spacing w:after="60"/>
      </w:pPr>
      <w:r>
        <w:rPr>
          <w:rFonts w:ascii="Arial" w:cs="Arial" w:eastAsia="Arial" w:hAnsi="Arial"/>
          <w:sz w:val="21"/>
          <w:szCs w:val="21"/>
        </w:rPr>
        <w:t xml:space="preserve">Veltrix IQ — an optional intelligent-document-processing and adverse-media summarisation feature released in Q1 2026 and enabled by default for all tenants. According to Veltrix's release notes, Veltrix IQ extracts fields from uploaded identity documents and produces natural-language summaries of adverse-media hits using a third-party large language model API hosted in the United States. Veltrix states that customer data is not used to train the model.</w:t>
      </w:r>
    </w:p>
    <w:p>
      <w:pPr>
        <w:spacing w:after="120" w:before="0"/>
      </w:pPr>
      <w:r>
        <w:rPr>
          <w:rFonts w:ascii="Arial" w:cs="Arial" w:eastAsia="Arial" w:hAnsi="Arial"/>
          <w:sz w:val="21"/>
          <w:szCs w:val="21"/>
        </w:rPr>
        <w:t xml:space="preserve">The service is delivered from Veltrix's AWS environment. There is no on-premises component and Veltrix has no connectivity into the Bank's network.</w:t>
      </w:r>
    </w:p>
    <w:p>
      <w:pPr>
        <w:pStyle w:val="Heading1"/>
        <w:spacing w:after="140" w:before="320"/>
      </w:pPr>
      <w:r>
        <w:rPr>
          <w:rFonts w:ascii="Arial" w:cs="Arial" w:eastAsia="Arial" w:hAnsi="Arial"/>
        </w:rPr>
        <w:t xml:space="preserve">4. Engagement scope at the Bank</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800"/>
        <w:gridCol w:w="6560"/>
      </w:tblGrid>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Business units</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Corporate &amp; Investment Banking — Client Lifecycle Management, Financial Crime Compliance, Coverage</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Countries</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Hong Kong SAR, Singapore, Japan, Australia, India</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Bank users</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Approximately 450 named users (relationship managers, KYC analysts, compliance approvers, 12 Bank administrators)</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Go-live</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April 2025 (Hong Kong and Singapore); Japan, Australia and India onboarded January 2026</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Contract</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Master Services Agreement dated 14 February 2025, initial term 3 years; annual fee USD 1.4 million</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Outsourcing classification</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Material outsourcing arrangement (HKMA SPM SA-2); material outsourcing under MAS Outsourcing Guidelines for the Singapore branch. Notified to both regulators.</w:t>
            </w:r>
          </w:p>
        </w:tc>
      </w:tr>
    </w:tbl>
    <w:p>
      <w:pPr>
        <w:pStyle w:val="Heading1"/>
        <w:spacing w:after="140" w:before="320"/>
      </w:pPr>
      <w:r>
        <w:rPr>
          <w:rFonts w:ascii="Arial" w:cs="Arial" w:eastAsia="Arial" w:hAnsi="Arial"/>
        </w:rPr>
        <w:t xml:space="preserve">5. Data processed</w:t>
      </w:r>
    </w:p>
    <w:p>
      <w:pPr>
        <w:spacing w:after="120" w:before="0"/>
      </w:pPr>
      <w:r>
        <w:rPr>
          <w:rFonts w:ascii="Arial" w:cs="Arial" w:eastAsia="Arial" w:hAnsi="Arial"/>
          <w:sz w:val="21"/>
          <w:szCs w:val="21"/>
        </w:rPr>
        <w:t xml:space="preserve">The Bank pushes client and related-party data to Veltrix through the integration described in Section 6. Bank users also upload documents directly through the web interface. Data in scope:</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000"/>
        <w:gridCol w:w="3400"/>
        <w:gridCol w:w="1800"/>
        <w:gridCol w:w="2160"/>
      </w:tblGrid>
      <w:tr>
        <w:trPr>
          <w:tblHeader/>
        </w:trPr>
        <w:tc>
          <w:tcPr>
            <w:tcW w:type="dxa" w:w="20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Data category</w:t>
            </w:r>
          </w:p>
        </w:tc>
        <w:tc>
          <w:tcPr>
            <w:tcW w:type="dxa" w:w="34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Examples</w:t>
            </w:r>
          </w:p>
        </w:tc>
        <w:tc>
          <w:tcPr>
            <w:tcW w:type="dxa" w:w="18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Bank classification</w:t>
            </w:r>
          </w:p>
        </w:tc>
        <w:tc>
          <w:tcPr>
            <w:tcW w:type="dxa" w:w="216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Approximate volume</w:t>
            </w:r>
          </w:p>
        </w:tc>
      </w:tr>
      <w:tr>
        <w:trPr>
          <w:tblHeader w:val="false"/>
        </w:trPr>
        <w:tc>
          <w:tcPr>
            <w:tcW w:type="dxa" w:w="20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Corporate client identifiers</w:t>
            </w:r>
          </w:p>
        </w:tc>
        <w:tc>
          <w:tcPr>
            <w:tcW w:type="dxa" w:w="34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Legal name, registration number, registered address, ownership structure</w:t>
            </w:r>
          </w:p>
        </w:tc>
        <w:tc>
          <w:tcPr>
            <w:tcW w:type="dxa" w:w="18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Confidential</w:t>
            </w:r>
          </w:p>
        </w:tc>
        <w:tc>
          <w:tcPr>
            <w:tcW w:type="dxa" w:w="2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120,000 client entities</w:t>
            </w:r>
          </w:p>
        </w:tc>
      </w:tr>
      <w:tr>
        <w:trPr>
          <w:tblHeader w:val="false"/>
        </w:trPr>
        <w:tc>
          <w:tcPr>
            <w:tcW w:type="dxa" w:w="20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Personal data of related parties</w:t>
            </w:r>
          </w:p>
        </w:tc>
        <w:tc>
          <w:tcPr>
            <w:tcW w:type="dxa" w:w="34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Directors, authorised signatories and beneficial owners: full name, date of birth, nationality, passport / national ID number, residential address</w:t>
            </w:r>
          </w:p>
        </w:tc>
        <w:tc>
          <w:tcPr>
            <w:tcW w:type="dxa" w:w="18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Highly Confidential</w:t>
            </w:r>
          </w:p>
        </w:tc>
        <w:tc>
          <w:tcPr>
            <w:tcW w:type="dxa" w:w="2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380,000 individuals</w:t>
            </w:r>
          </w:p>
        </w:tc>
      </w:tr>
      <w:tr>
        <w:trPr>
          <w:tblHeader w:val="false"/>
        </w:trPr>
        <w:tc>
          <w:tcPr>
            <w:tcW w:type="dxa" w:w="20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Identity and KYC documents</w:t>
            </w:r>
          </w:p>
        </w:tc>
        <w:tc>
          <w:tcPr>
            <w:tcW w:type="dxa" w:w="34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Passport and ID card images, proof of address, source-of-wealth statements, bank statements</w:t>
            </w:r>
          </w:p>
        </w:tc>
        <w:tc>
          <w:tcPr>
            <w:tcW w:type="dxa" w:w="18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Highly Confidential</w:t>
            </w:r>
          </w:p>
        </w:tc>
        <w:tc>
          <w:tcPr>
            <w:tcW w:type="dxa" w:w="2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2.1 million documents</w:t>
            </w:r>
          </w:p>
        </w:tc>
      </w:tr>
      <w:tr>
        <w:trPr>
          <w:tblHeader w:val="false"/>
        </w:trPr>
        <w:tc>
          <w:tcPr>
            <w:tcW w:type="dxa" w:w="20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Screening results</w:t>
            </w:r>
          </w:p>
        </w:tc>
        <w:tc>
          <w:tcPr>
            <w:tcW w:type="dxa" w:w="34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Sanctions, PEP and adverse-media hits and analyst dispositions</w:t>
            </w:r>
          </w:p>
        </w:tc>
        <w:tc>
          <w:tcPr>
            <w:tcW w:type="dxa" w:w="18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Highly Confidential</w:t>
            </w:r>
          </w:p>
        </w:tc>
        <w:tc>
          <w:tcPr>
            <w:tcW w:type="dxa" w:w="2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1.6 million alerts (cumulative)</w:t>
            </w:r>
          </w:p>
        </w:tc>
      </w:tr>
      <w:tr>
        <w:trPr>
          <w:tblHeader w:val="false"/>
        </w:trPr>
        <w:tc>
          <w:tcPr>
            <w:tcW w:type="dxa" w:w="20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Relationship manager notes</w:t>
            </w:r>
          </w:p>
        </w:tc>
        <w:tc>
          <w:tcPr>
            <w:tcW w:type="dxa" w:w="34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Free-text case notes, escalation rationale</w:t>
            </w:r>
          </w:p>
        </w:tc>
        <w:tc>
          <w:tcPr>
            <w:tcW w:type="dxa" w:w="18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Confidential</w:t>
            </w:r>
          </w:p>
        </w:tc>
        <w:tc>
          <w:tcPr>
            <w:tcW w:type="dxa" w:w="2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n/a</w:t>
            </w:r>
          </w:p>
        </w:tc>
      </w:tr>
    </w:tbl>
    <w:p>
      <w:pPr>
        <w:spacing w:after="120" w:before="0"/>
      </w:pPr>
      <w:r>
        <w:rPr>
          <w:rFonts w:ascii="Arial" w:cs="Arial" w:eastAsia="Arial" w:hAnsi="Arial"/>
          <w:sz w:val="21"/>
          <w:szCs w:val="21"/>
        </w:rPr>
        <w:t xml:space="preserve"/>
      </w:r>
    </w:p>
    <w:p>
      <w:pPr>
        <w:spacing w:after="120" w:before="0"/>
      </w:pPr>
      <w:r>
        <w:rPr>
          <w:rFonts w:ascii="Arial" w:cs="Arial" w:eastAsia="Arial" w:hAnsi="Arial"/>
          <w:sz w:val="21"/>
          <w:szCs w:val="21"/>
        </w:rPr>
        <w:t xml:space="preserve">No cardholder data, credentials for Bank systems, or trading data are processed. Approximately 4% of related-party individuals are EU residents.</w:t>
      </w:r>
    </w:p>
    <w:p>
      <w:pPr>
        <w:pStyle w:val="Heading1"/>
        <w:spacing w:after="140" w:before="320"/>
      </w:pPr>
      <w:r>
        <w:rPr>
          <w:rFonts w:ascii="Arial" w:cs="Arial" w:eastAsia="Arial" w:hAnsi="Arial"/>
        </w:rPr>
        <w:t xml:space="preserve">6. Architecture and integration</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800"/>
        <w:gridCol w:w="6560"/>
      </w:tblGrid>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Hosting</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Amazon Web Services. Primary region ap-southeast-1 (Singapore). Disaster-recovery replica in eu-west-1 (Ireland) with continuous database replication and hourly object storage replication.</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Tenancy</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Multi-tenant application and database with logical tenant separation (tenant_id scoping); dedicated S3 prefix per tenant.</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Integration</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REST API (client entity and related-party data pushed from the Bank's CRM; case status pulled back) authenticated with tenant-scoped API keys; nightly SFTP batch file exchange (screening deltas and periodic-review lists) via legacy-sftp.veltrix.io.</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Authentication</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SAML 2.0 single sign-on with the Bank's identity provider for all Bank users. Bank administrators also have local break-glass accounts.</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Mobile</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Veltrix Onboard mobile app (iOS/Android) available to relationship managers for document capture; approximately 60 Bank users enabled.</w:t>
            </w:r>
          </w:p>
        </w:tc>
      </w:tr>
      <w:tr>
        <w:trPr>
          <w:tblHeader w:val="false"/>
        </w:trPr>
        <w:tc>
          <w:tcPr>
            <w:tcW w:type="dxa" w:w="2800"/>
            <w:shd w:fill="F2F2F2" w:color="auto" w:val="clear"/>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Network connectivity</w:t>
            </w:r>
          </w:p>
        </w:tc>
        <w:tc>
          <w:tcPr>
            <w:tcW w:type="dxa" w:w="65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None into the Bank network. Outbound from the Bank to Veltrix over HTTPS and SFTP only.</w:t>
            </w:r>
          </w:p>
        </w:tc>
      </w:tr>
    </w:tbl>
    <w:p>
      <w:pPr>
        <w:pStyle w:val="Heading1"/>
        <w:spacing w:after="140" w:before="320"/>
      </w:pPr>
      <w:r>
        <w:rPr>
          <w:rFonts w:ascii="Arial" w:cs="Arial" w:eastAsia="Arial" w:hAnsi="Arial"/>
        </w:rPr>
        <w:t xml:space="preserve">7. Veltrix personnel and locations with access to Bank data</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1700"/>
        <w:gridCol w:w="2800"/>
        <w:gridCol w:w="2860"/>
        <w:gridCol w:w="2000"/>
      </w:tblGrid>
      <w:tr>
        <w:trPr>
          <w:tblHeader/>
        </w:trPr>
        <w:tc>
          <w:tcPr>
            <w:tcW w:type="dxa" w:w="17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Location</w:t>
            </w:r>
          </w:p>
        </w:tc>
        <w:tc>
          <w:tcPr>
            <w:tcW w:type="dxa" w:w="28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Function</w:t>
            </w:r>
          </w:p>
        </w:tc>
        <w:tc>
          <w:tcPr>
            <w:tcW w:type="dxa" w:w="286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Access to Bank data</w:t>
            </w:r>
          </w:p>
        </w:tc>
        <w:tc>
          <w:tcPr>
            <w:tcW w:type="dxa" w:w="20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Employment</w:t>
            </w:r>
          </w:p>
        </w:tc>
      </w:tr>
      <w:tr>
        <w:trPr>
          <w:tblHeader w:val="false"/>
        </w:trPr>
        <w:tc>
          <w:tcPr>
            <w:tcW w:type="dxa" w:w="17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Singapore</w:t>
            </w:r>
          </w:p>
        </w:tc>
        <w:tc>
          <w:tcPr>
            <w:tcW w:type="dxa" w:w="28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Platform operations, security, customer success</w:t>
            </w:r>
          </w:p>
        </w:tc>
        <w:tc>
          <w:tcPr>
            <w:tcW w:type="dxa" w:w="28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Production administrative access</w:t>
            </w:r>
          </w:p>
        </w:tc>
        <w:tc>
          <w:tcPr>
            <w:tcW w:type="dxa" w:w="20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Veltrix employees</w:t>
            </w:r>
          </w:p>
        </w:tc>
      </w:tr>
      <w:tr>
        <w:trPr>
          <w:tblHeader w:val="false"/>
        </w:trPr>
        <w:tc>
          <w:tcPr>
            <w:tcW w:type="dxa" w:w="17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Pune, India</w:t>
            </w:r>
          </w:p>
        </w:tc>
        <w:tc>
          <w:tcPr>
            <w:tcW w:type="dxa" w:w="28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Engineering and 24x7 production support (L3)</w:t>
            </w:r>
          </w:p>
        </w:tc>
        <w:tc>
          <w:tcPr>
            <w:tcW w:type="dxa" w:w="28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Production support access including break-glass access to databases</w:t>
            </w:r>
          </w:p>
        </w:tc>
        <w:tc>
          <w:tcPr>
            <w:tcW w:type="dxa" w:w="20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Veltrix Technologies India Pvt. Ltd. employees</w:t>
            </w:r>
          </w:p>
        </w:tc>
      </w:tr>
      <w:tr>
        <w:trPr>
          <w:tblHeader w:val="false"/>
        </w:trPr>
        <w:tc>
          <w:tcPr>
            <w:tcW w:type="dxa" w:w="17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Manila, Philippines</w:t>
            </w:r>
          </w:p>
        </w:tc>
        <w:tc>
          <w:tcPr>
            <w:tcW w:type="dxa" w:w="28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Tier-1 customer support</w:t>
            </w:r>
          </w:p>
        </w:tc>
        <w:tc>
          <w:tcPr>
            <w:tcW w:type="dxa" w:w="28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Read access to customer case records and attachments through the support console</w:t>
            </w:r>
          </w:p>
        </w:tc>
        <w:tc>
          <w:tcPr>
            <w:tcW w:type="dxa" w:w="20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Cerulean Support Services Inc. (BPO contractor)</w:t>
            </w:r>
          </w:p>
        </w:tc>
      </w:tr>
    </w:tbl>
    <w:p>
      <w:pPr>
        <w:pStyle w:val="Heading1"/>
        <w:spacing w:after="140" w:before="320"/>
      </w:pPr>
      <w:r>
        <w:rPr>
          <w:rFonts w:ascii="Arial" w:cs="Arial" w:eastAsia="Arial" w:hAnsi="Arial"/>
        </w:rPr>
        <w:t xml:space="preserve">8. Fourth parties</w:t>
      </w:r>
    </w:p>
    <w:p>
      <w:pPr>
        <w:spacing w:after="120" w:before="0"/>
      </w:pPr>
      <w:r>
        <w:rPr>
          <w:rFonts w:ascii="Arial" w:cs="Arial" w:eastAsia="Arial" w:hAnsi="Arial"/>
          <w:sz w:val="21"/>
          <w:szCs w:val="21"/>
        </w:rPr>
        <w:t xml:space="preserve">Fourth parties identified during due diligence (the Bank's view; compare with the subprocessor list declared in the security questionnaire):</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600"/>
        <w:gridCol w:w="2600"/>
        <w:gridCol w:w="1900"/>
        <w:gridCol w:w="2260"/>
      </w:tblGrid>
      <w:tr>
        <w:trPr>
          <w:tblHeader/>
        </w:trPr>
        <w:tc>
          <w:tcPr>
            <w:tcW w:type="dxa" w:w="26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Fourth party</w:t>
            </w:r>
          </w:p>
        </w:tc>
        <w:tc>
          <w:tcPr>
            <w:tcW w:type="dxa" w:w="26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Service</w:t>
            </w:r>
          </w:p>
        </w:tc>
        <w:tc>
          <w:tcPr>
            <w:tcW w:type="dxa" w:w="19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Location</w:t>
            </w:r>
          </w:p>
        </w:tc>
        <w:tc>
          <w:tcPr>
            <w:tcW w:type="dxa" w:w="226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Access to Bank data</w:t>
            </w:r>
          </w:p>
        </w:tc>
      </w:tr>
      <w:tr>
        <w:trPr>
          <w:tblHeader w:val="false"/>
        </w:trPr>
        <w:tc>
          <w:tcPr>
            <w:tcW w:type="dxa" w:w="2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Amazon Web Services</w:t>
            </w:r>
          </w:p>
        </w:tc>
        <w:tc>
          <w:tcPr>
            <w:tcW w:type="dxa" w:w="2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Cloud hosting</w:t>
            </w:r>
          </w:p>
        </w:tc>
        <w:tc>
          <w:tcPr>
            <w:tcW w:type="dxa" w:w="19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Singapore; Ireland (DR)</w:t>
            </w:r>
          </w:p>
        </w:tc>
        <w:tc>
          <w:tcPr>
            <w:tcW w:type="dxa" w:w="22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Encrypted storage and compute</w:t>
            </w:r>
          </w:p>
        </w:tc>
      </w:tr>
      <w:tr>
        <w:trPr>
          <w:tblHeader w:val="false"/>
        </w:trPr>
        <w:tc>
          <w:tcPr>
            <w:tcW w:type="dxa" w:w="2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Cerulean Support Services Inc.</w:t>
            </w:r>
          </w:p>
        </w:tc>
        <w:tc>
          <w:tcPr>
            <w:tcW w:type="dxa" w:w="2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Tier-1 customer support (BPO)</w:t>
            </w:r>
          </w:p>
        </w:tc>
        <w:tc>
          <w:tcPr>
            <w:tcW w:type="dxa" w:w="19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Manila, Philippines</w:t>
            </w:r>
          </w:p>
        </w:tc>
        <w:tc>
          <w:tcPr>
            <w:tcW w:type="dxa" w:w="22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Read access to case records</w:t>
            </w:r>
          </w:p>
        </w:tc>
      </w:tr>
      <w:tr>
        <w:trPr>
          <w:tblHeader w:val="false"/>
        </w:trPr>
        <w:tc>
          <w:tcPr>
            <w:tcW w:type="dxa" w:w="2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WatchTower Data Ltd</w:t>
            </w:r>
          </w:p>
        </w:tc>
        <w:tc>
          <w:tcPr>
            <w:tcW w:type="dxa" w:w="2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Sanctions / PEP / adverse-media list data</w:t>
            </w:r>
          </w:p>
        </w:tc>
        <w:tc>
          <w:tcPr>
            <w:tcW w:type="dxa" w:w="19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London, UK</w:t>
            </w:r>
          </w:p>
        </w:tc>
        <w:tc>
          <w:tcPr>
            <w:tcW w:type="dxa" w:w="22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Receives names of screened parties</w:t>
            </w:r>
          </w:p>
        </w:tc>
      </w:tr>
      <w:tr>
        <w:trPr>
          <w:tblHeader w:val="false"/>
        </w:trPr>
        <w:tc>
          <w:tcPr>
            <w:tcW w:type="dxa" w:w="2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OptiRead Pte. Ltd.</w:t>
            </w:r>
          </w:p>
        </w:tc>
        <w:tc>
          <w:tcPr>
            <w:tcW w:type="dxa" w:w="2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OCR of identity documents</w:t>
            </w:r>
          </w:p>
        </w:tc>
        <w:tc>
          <w:tcPr>
            <w:tcW w:type="dxa" w:w="19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Singapore</w:t>
            </w:r>
          </w:p>
        </w:tc>
        <w:tc>
          <w:tcPr>
            <w:tcW w:type="dxa" w:w="22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Receives document images</w:t>
            </w:r>
          </w:p>
        </w:tc>
      </w:tr>
      <w:tr>
        <w:trPr>
          <w:tblHeader w:val="false"/>
        </w:trPr>
        <w:tc>
          <w:tcPr>
            <w:tcW w:type="dxa" w:w="2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US-based large language model API provider (name not disclosed by Veltrix)</w:t>
            </w:r>
          </w:p>
        </w:tc>
        <w:tc>
          <w:tcPr>
            <w:tcW w:type="dxa" w:w="2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Veltrix IQ document extraction and summarisation</w:t>
            </w:r>
          </w:p>
        </w:tc>
        <w:tc>
          <w:tcPr>
            <w:tcW w:type="dxa" w:w="19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United States</w:t>
            </w:r>
          </w:p>
        </w:tc>
        <w:tc>
          <w:tcPr>
            <w:tcW w:type="dxa" w:w="22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Receives document images and adverse-media text</w:t>
            </w:r>
          </w:p>
        </w:tc>
      </w:tr>
      <w:tr>
        <w:trPr>
          <w:tblHeader w:val="false"/>
        </w:trPr>
        <w:tc>
          <w:tcPr>
            <w:tcW w:type="dxa" w:w="2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Datadog</w:t>
            </w:r>
          </w:p>
        </w:tc>
        <w:tc>
          <w:tcPr>
            <w:tcW w:type="dxa" w:w="26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Monitoring and log analytics</w:t>
            </w:r>
          </w:p>
        </w:tc>
        <w:tc>
          <w:tcPr>
            <w:tcW w:type="dxa" w:w="19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United States (SaaS)</w:t>
            </w:r>
          </w:p>
        </w:tc>
        <w:tc>
          <w:tcPr>
            <w:tcW w:type="dxa" w:w="22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Application logs (Veltrix states logs are masked)</w:t>
            </w:r>
          </w:p>
        </w:tc>
      </w:tr>
    </w:tbl>
    <w:p>
      <w:pPr>
        <w:pStyle w:val="Heading1"/>
        <w:spacing w:after="140" w:before="320"/>
      </w:pPr>
      <w:r>
        <w:rPr>
          <w:rFonts w:ascii="Arial" w:cs="Arial" w:eastAsia="Arial" w:hAnsi="Arial"/>
        </w:rPr>
        <w:t xml:space="preserve">9. Criticality and substitutability</w:t>
      </w:r>
    </w:p>
    <w:p>
      <w:pPr>
        <w:pStyle w:val="ListParagraph"/>
        <w:numPr>
          <w:ilvl w:val="0"/>
          <w:numId w:val="2"/>
        </w:numPr>
        <w:spacing w:after="60"/>
      </w:pPr>
      <w:r>
        <w:rPr>
          <w:rFonts w:ascii="Arial" w:cs="Arial" w:eastAsia="Arial" w:hAnsi="Arial"/>
          <w:sz w:val="21"/>
          <w:szCs w:val="21"/>
        </w:rPr>
        <w:t xml:space="preserve">Corporate client onboarding and periodic KYC reviews in the five in-scope markets cannot be completed without the platform. The documented manual workaround (spreadsheet capture and manual screening) is sustainable for approximately 5 business days before regulatory KYC timelines are at risk.</w:t>
      </w:r>
    </w:p>
    <w:p>
      <w:pPr>
        <w:pStyle w:val="ListParagraph"/>
        <w:numPr>
          <w:ilvl w:val="0"/>
          <w:numId w:val="2"/>
        </w:numPr>
        <w:spacing w:after="60"/>
      </w:pPr>
      <w:r>
        <w:rPr>
          <w:rFonts w:ascii="Arial" w:cs="Arial" w:eastAsia="Arial" w:hAnsi="Arial"/>
          <w:sz w:val="21"/>
          <w:szCs w:val="21"/>
        </w:rPr>
        <w:t xml:space="preserve">The Bank's Business Impact Analysis assigns the service Recovery Tier 2, requiring a recovery time objective (RTO) of 8 hours and a recovery point objective (RPO) of 1 hour.</w:t>
      </w:r>
    </w:p>
    <w:p>
      <w:pPr>
        <w:pStyle w:val="ListParagraph"/>
        <w:numPr>
          <w:ilvl w:val="0"/>
          <w:numId w:val="2"/>
        </w:numPr>
        <w:spacing w:after="60"/>
      </w:pPr>
      <w:r>
        <w:rPr>
          <w:rFonts w:ascii="Arial" w:cs="Arial" w:eastAsia="Arial" w:hAnsi="Arial"/>
          <w:sz w:val="21"/>
          <w:szCs w:val="21"/>
        </w:rPr>
        <w:t xml:space="preserve">Exit and migration to an alternative provider is estimated at 6 to 9 months, including data extraction of 2.1 million documents. An exit plan exists but has not been tested.</w:t>
      </w:r>
    </w:p>
    <w:p>
      <w:pPr>
        <w:pStyle w:val="ListParagraph"/>
        <w:numPr>
          <w:ilvl w:val="0"/>
          <w:numId w:val="2"/>
        </w:numPr>
        <w:spacing w:after="60"/>
      </w:pPr>
      <w:r>
        <w:rPr>
          <w:rFonts w:ascii="Arial" w:cs="Arial" w:eastAsia="Arial" w:hAnsi="Arial"/>
          <w:sz w:val="21"/>
          <w:szCs w:val="21"/>
        </w:rPr>
        <w:t xml:space="preserve">Concentration: the Bank is Veltrix's largest customer (~11% of ARR). Veltrix is the Bank's sole onboarding platform in APAC.</w:t>
      </w:r>
    </w:p>
    <w:p>
      <w:pPr>
        <w:pStyle w:val="Heading1"/>
        <w:spacing w:after="140" w:before="320"/>
      </w:pPr>
      <w:r>
        <w:rPr>
          <w:rFonts w:ascii="Arial" w:cs="Arial" w:eastAsia="Arial" w:hAnsi="Arial"/>
        </w:rPr>
        <w:t xml:space="preserve">10. Contractual requirements (Master Services Agreement, 14 February 2025)</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400"/>
        <w:gridCol w:w="6960"/>
      </w:tblGrid>
      <w:tr>
        <w:trPr>
          <w:tblHeader/>
        </w:trPr>
        <w:tc>
          <w:tcPr>
            <w:tcW w:type="dxa" w:w="24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Clause</w:t>
            </w:r>
          </w:p>
        </w:tc>
        <w:tc>
          <w:tcPr>
            <w:tcW w:type="dxa" w:w="696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Requirement</w:t>
            </w:r>
          </w:p>
        </w:tc>
      </w:tr>
      <w:tr>
        <w:trPr>
          <w:tblHeader w:val="false"/>
        </w:trPr>
        <w:tc>
          <w:tcPr>
            <w:tcW w:type="dxa" w:w="24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12.1 Data location</w:t>
            </w:r>
          </w:p>
        </w:tc>
        <w:tc>
          <w:tcPr>
            <w:tcW w:type="dxa" w:w="69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Customer Data shall be stored and processed only in Singapore and Hong Kong SAR. Any other location requires the Bank's prior written consent.</w:t>
            </w:r>
          </w:p>
        </w:tc>
      </w:tr>
      <w:tr>
        <w:trPr>
          <w:tblHeader w:val="false"/>
        </w:trPr>
        <w:tc>
          <w:tcPr>
            <w:tcW w:type="dxa" w:w="24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12.4 Subprocessors</w:t>
            </w:r>
          </w:p>
        </w:tc>
        <w:tc>
          <w:tcPr>
            <w:tcW w:type="dxa" w:w="69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Veltrix shall maintain a current list of subprocessors and notify the Bank at least 30 days before engaging a new subprocessor that will process Customer Data.</w:t>
            </w:r>
          </w:p>
        </w:tc>
      </w:tr>
      <w:tr>
        <w:trPr>
          <w:tblHeader w:val="false"/>
        </w:trPr>
        <w:tc>
          <w:tcPr>
            <w:tcW w:type="dxa" w:w="24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13.2 Security incident notification</w:t>
            </w:r>
          </w:p>
        </w:tc>
        <w:tc>
          <w:tcPr>
            <w:tcW w:type="dxa" w:w="69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Veltrix shall notify the Bank within 24 hours of detection of any actual or suspected security incident affecting Customer Data.</w:t>
            </w:r>
          </w:p>
        </w:tc>
      </w:tr>
      <w:tr>
        <w:trPr>
          <w:tblHeader w:val="false"/>
        </w:trPr>
        <w:tc>
          <w:tcPr>
            <w:tcW w:type="dxa" w:w="24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13.5 Assurance</w:t>
            </w:r>
          </w:p>
        </w:tc>
        <w:tc>
          <w:tcPr>
            <w:tcW w:type="dxa" w:w="69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Veltrix shall provide annually a SOC 2 Type II report and an independent penetration test report covering all components used to deliver the Services, and shall remediate critical and high findings within 30 days.</w:t>
            </w:r>
          </w:p>
        </w:tc>
      </w:tr>
      <w:tr>
        <w:trPr>
          <w:tblHeader w:val="false"/>
        </w:trPr>
        <w:tc>
          <w:tcPr>
            <w:tcW w:type="dxa" w:w="24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13.7 Right to audit</w:t>
            </w:r>
          </w:p>
        </w:tc>
        <w:tc>
          <w:tcPr>
            <w:tcW w:type="dxa" w:w="69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The Bank and its regulators have the right to audit Veltrix, including on-site, on 30 days' notice, and without notice following a security incident.</w:t>
            </w:r>
          </w:p>
        </w:tc>
      </w:tr>
      <w:tr>
        <w:trPr>
          <w:tblHeader w:val="false"/>
        </w:trPr>
        <w:tc>
          <w:tcPr>
            <w:tcW w:type="dxa" w:w="24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14.1 Business continuity</w:t>
            </w:r>
          </w:p>
        </w:tc>
        <w:tc>
          <w:tcPr>
            <w:tcW w:type="dxa" w:w="69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Veltrix shall maintain and test annually a business continuity and disaster recovery plan meeting an RTO of 8 hours and an RPO of 1 hour.</w:t>
            </w:r>
          </w:p>
        </w:tc>
      </w:tr>
      <w:tr>
        <w:trPr>
          <w:tblHeader w:val="false"/>
        </w:trPr>
        <w:tc>
          <w:tcPr>
            <w:tcW w:type="dxa" w:w="24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15.3 Insurance</w:t>
            </w:r>
          </w:p>
        </w:tc>
        <w:tc>
          <w:tcPr>
            <w:tcW w:type="dxa" w:w="69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Veltrix shall maintain cyber liability insurance of not less than USD 10 million per claim.</w:t>
            </w:r>
          </w:p>
        </w:tc>
      </w:tr>
      <w:tr>
        <w:trPr>
          <w:tblHeader w:val="false"/>
        </w:trPr>
        <w:tc>
          <w:tcPr>
            <w:tcW w:type="dxa" w:w="24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16.2 Data return and deletion</w:t>
            </w:r>
          </w:p>
        </w:tc>
        <w:tc>
          <w:tcPr>
            <w:tcW w:type="dxa" w:w="69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Within 30 days of termination Veltrix shall return Customer Data and securely delete all copies, other than as required by law, and certify deletion in writing.</w:t>
            </w:r>
          </w:p>
        </w:tc>
      </w:tr>
    </w:tbl>
    <w:p>
      <w:pPr>
        <w:pStyle w:val="Heading1"/>
        <w:spacing w:after="140" w:before="320"/>
      </w:pPr>
      <w:r>
        <w:rPr>
          <w:rFonts w:ascii="Arial" w:cs="Arial" w:eastAsia="Arial" w:hAnsi="Arial"/>
        </w:rPr>
        <w:t xml:space="preserve">11. Bank third-party security standard — key requirements</w:t>
      </w:r>
    </w:p>
    <w:p>
      <w:pPr>
        <w:spacing w:after="120" w:before="0"/>
      </w:pPr>
      <w:r>
        <w:rPr>
          <w:rFonts w:ascii="Arial" w:cs="Arial" w:eastAsia="Arial" w:hAnsi="Arial"/>
          <w:sz w:val="21"/>
          <w:szCs w:val="21"/>
        </w:rPr>
        <w:t xml:space="preserve">The Bank's Third Party Information Security Standard (TPISS v4.1) applies to all High-tier third parties. Requirements most relevant to this assessment:</w:t>
      </w:r>
    </w:p>
    <w:p>
      <w:pPr>
        <w:pStyle w:val="ListParagraph"/>
        <w:numPr>
          <w:ilvl w:val="0"/>
          <w:numId w:val="2"/>
        </w:numPr>
        <w:spacing w:after="60"/>
      </w:pPr>
      <w:r>
        <w:rPr>
          <w:rFonts w:ascii="Arial" w:cs="Arial" w:eastAsia="Arial" w:hAnsi="Arial"/>
          <w:sz w:val="21"/>
          <w:szCs w:val="21"/>
        </w:rPr>
        <w:t xml:space="preserve">Multi-factor authentication enforced for all administrative and remote access.</w:t>
      </w:r>
    </w:p>
    <w:p>
      <w:pPr>
        <w:pStyle w:val="ListParagraph"/>
        <w:numPr>
          <w:ilvl w:val="0"/>
          <w:numId w:val="2"/>
        </w:numPr>
        <w:spacing w:after="60"/>
      </w:pPr>
      <w:r>
        <w:rPr>
          <w:rFonts w:ascii="Arial" w:cs="Arial" w:eastAsia="Arial" w:hAnsi="Arial"/>
          <w:sz w:val="21"/>
          <w:szCs w:val="21"/>
        </w:rPr>
        <w:t xml:space="preserve">Critical vulnerabilities remediated within 14 days, high within 30 days.</w:t>
      </w:r>
    </w:p>
    <w:p>
      <w:pPr>
        <w:pStyle w:val="ListParagraph"/>
        <w:numPr>
          <w:ilvl w:val="0"/>
          <w:numId w:val="2"/>
        </w:numPr>
        <w:spacing w:after="60"/>
      </w:pPr>
      <w:r>
        <w:rPr>
          <w:rFonts w:ascii="Arial" w:cs="Arial" w:eastAsia="Arial" w:hAnsi="Arial"/>
          <w:sz w:val="21"/>
          <w:szCs w:val="21"/>
        </w:rPr>
        <w:t xml:space="preserve">Security logs retained for a minimum of 12 months and available to the Bank on request.</w:t>
      </w:r>
    </w:p>
    <w:p>
      <w:pPr>
        <w:pStyle w:val="ListParagraph"/>
        <w:numPr>
          <w:ilvl w:val="0"/>
          <w:numId w:val="2"/>
        </w:numPr>
        <w:spacing w:after="60"/>
      </w:pPr>
      <w:r>
        <w:rPr>
          <w:rFonts w:ascii="Arial" w:cs="Arial" w:eastAsia="Arial" w:hAnsi="Arial"/>
          <w:sz w:val="21"/>
          <w:szCs w:val="21"/>
        </w:rPr>
        <w:t xml:space="preserve">Privileged access reviewed at least quarterly.</w:t>
      </w:r>
    </w:p>
    <w:p>
      <w:pPr>
        <w:pStyle w:val="ListParagraph"/>
        <w:numPr>
          <w:ilvl w:val="0"/>
          <w:numId w:val="2"/>
        </w:numPr>
        <w:spacing w:after="60"/>
      </w:pPr>
      <w:r>
        <w:rPr>
          <w:rFonts w:ascii="Arial" w:cs="Arial" w:eastAsia="Arial" w:hAnsi="Arial"/>
          <w:sz w:val="21"/>
          <w:szCs w:val="21"/>
        </w:rPr>
        <w:t xml:space="preserve">Independent penetration test at least annually covering all customer-facing interfaces, with retest of critical and high findings.</w:t>
      </w:r>
    </w:p>
    <w:p>
      <w:pPr>
        <w:pStyle w:val="ListParagraph"/>
        <w:numPr>
          <w:ilvl w:val="0"/>
          <w:numId w:val="2"/>
        </w:numPr>
        <w:spacing w:after="60"/>
      </w:pPr>
      <w:r>
        <w:rPr>
          <w:rFonts w:ascii="Arial" w:cs="Arial" w:eastAsia="Arial" w:hAnsi="Arial"/>
          <w:sz w:val="21"/>
          <w:szCs w:val="21"/>
        </w:rPr>
        <w:t xml:space="preserve">Background screening of all personnel with access to Bank data, including contractors.</w:t>
      </w:r>
    </w:p>
    <w:p>
      <w:pPr>
        <w:pStyle w:val="ListParagraph"/>
        <w:numPr>
          <w:ilvl w:val="0"/>
          <w:numId w:val="2"/>
        </w:numPr>
        <w:spacing w:after="60"/>
      </w:pPr>
      <w:r>
        <w:rPr>
          <w:rFonts w:ascii="Arial" w:cs="Arial" w:eastAsia="Arial" w:hAnsi="Arial"/>
          <w:sz w:val="21"/>
          <w:szCs w:val="21"/>
        </w:rPr>
        <w:t xml:space="preserve">Encryption of data at rest (AES-256) and in transit (TLS 1.2 or higher only).</w:t>
      </w:r>
    </w:p>
    <w:p>
      <w:pPr>
        <w:pStyle w:val="ListParagraph"/>
        <w:numPr>
          <w:ilvl w:val="0"/>
          <w:numId w:val="2"/>
        </w:numPr>
        <w:spacing w:after="60"/>
      </w:pPr>
      <w:r>
        <w:rPr>
          <w:rFonts w:ascii="Arial" w:cs="Arial" w:eastAsia="Arial" w:hAnsi="Arial"/>
          <w:sz w:val="21"/>
          <w:szCs w:val="21"/>
        </w:rPr>
        <w:t xml:space="preserve">Annual DR test meeting the contracted RTO/RPO.</w:t>
      </w:r>
    </w:p>
    <w:p>
      <w:pPr>
        <w:pStyle w:val="Heading1"/>
        <w:spacing w:after="140" w:before="320"/>
      </w:pPr>
      <w:r>
        <w:rPr>
          <w:rFonts w:ascii="Arial" w:cs="Arial" w:eastAsia="Arial" w:hAnsi="Arial"/>
        </w:rPr>
        <w:t xml:space="preserve">12. Evidence provided by Veltrix for this assessment</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900"/>
        <w:gridCol w:w="5500"/>
        <w:gridCol w:w="2960"/>
      </w:tblGrid>
      <w:tr>
        <w:trPr>
          <w:tblHeader/>
        </w:trPr>
        <w:tc>
          <w:tcPr>
            <w:tcW w:type="dxa" w:w="9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Ref</w:t>
            </w:r>
          </w:p>
        </w:tc>
        <w:tc>
          <w:tcPr>
            <w:tcW w:type="dxa" w:w="55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Document</w:t>
            </w:r>
          </w:p>
        </w:tc>
        <w:tc>
          <w:tcPr>
            <w:tcW w:type="dxa" w:w="296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Version / date</w:t>
            </w:r>
          </w:p>
        </w:tc>
      </w:tr>
      <w:tr>
        <w:trPr>
          <w:tblHeader w:val="false"/>
        </w:trPr>
        <w:tc>
          <w:tcPr>
            <w:tcW w:type="dxa" w:w="9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E1</w:t>
            </w:r>
          </w:p>
        </w:tc>
        <w:tc>
          <w:tcPr>
            <w:tcW w:type="dxa" w:w="55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Security questionnaire response (Bank standard questionnaire v4)</w:t>
            </w:r>
          </w:p>
        </w:tc>
        <w:tc>
          <w:tcPr>
            <w:tcW w:type="dxa" w:w="29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Returned 25 August 2026</w:t>
            </w:r>
          </w:p>
        </w:tc>
      </w:tr>
      <w:tr>
        <w:trPr>
          <w:tblHeader w:val="false"/>
        </w:trPr>
        <w:tc>
          <w:tcPr>
            <w:tcW w:type="dxa" w:w="9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E2</w:t>
            </w:r>
          </w:p>
        </w:tc>
        <w:tc>
          <w:tcPr>
            <w:tcW w:type="dxa" w:w="55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Information Security Policy</w:t>
            </w:r>
          </w:p>
        </w:tc>
        <w:tc>
          <w:tcPr>
            <w:tcW w:type="dxa" w:w="29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v3.2</w:t>
            </w:r>
          </w:p>
        </w:tc>
      </w:tr>
      <w:tr>
        <w:trPr>
          <w:tblHeader w:val="false"/>
        </w:trPr>
        <w:tc>
          <w:tcPr>
            <w:tcW w:type="dxa" w:w="9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E3</w:t>
            </w:r>
          </w:p>
        </w:tc>
        <w:tc>
          <w:tcPr>
            <w:tcW w:type="dxa" w:w="55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Access Control Policy</w:t>
            </w:r>
          </w:p>
        </w:tc>
        <w:tc>
          <w:tcPr>
            <w:tcW w:type="dxa" w:w="29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v2.0</w:t>
            </w:r>
          </w:p>
        </w:tc>
      </w:tr>
      <w:tr>
        <w:trPr>
          <w:tblHeader w:val="false"/>
        </w:trPr>
        <w:tc>
          <w:tcPr>
            <w:tcW w:type="dxa" w:w="9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E4</w:t>
            </w:r>
          </w:p>
        </w:tc>
        <w:tc>
          <w:tcPr>
            <w:tcW w:type="dxa" w:w="55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Incident Response Policy</w:t>
            </w:r>
          </w:p>
        </w:tc>
        <w:tc>
          <w:tcPr>
            <w:tcW w:type="dxa" w:w="29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v1.4</w:t>
            </w:r>
          </w:p>
        </w:tc>
      </w:tr>
      <w:tr>
        <w:trPr>
          <w:tblHeader w:val="false"/>
        </w:trPr>
        <w:tc>
          <w:tcPr>
            <w:tcW w:type="dxa" w:w="9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E5</w:t>
            </w:r>
          </w:p>
        </w:tc>
        <w:tc>
          <w:tcPr>
            <w:tcW w:type="dxa" w:w="55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Business Continuity and Disaster Recovery Policy</w:t>
            </w:r>
          </w:p>
        </w:tc>
        <w:tc>
          <w:tcPr>
            <w:tcW w:type="dxa" w:w="29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v2.1</w:t>
            </w:r>
          </w:p>
        </w:tc>
      </w:tr>
      <w:tr>
        <w:trPr>
          <w:tblHeader w:val="false"/>
        </w:trPr>
        <w:tc>
          <w:tcPr>
            <w:tcW w:type="dxa" w:w="9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E6</w:t>
            </w:r>
          </w:p>
        </w:tc>
        <w:tc>
          <w:tcPr>
            <w:tcW w:type="dxa" w:w="55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SOC 2 Type II report — Harrow &amp; Pell LLP</w:t>
            </w:r>
          </w:p>
        </w:tc>
        <w:tc>
          <w:tcPr>
            <w:tcW w:type="dxa" w:w="29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Report dated 12 September 2025</w:t>
            </w:r>
          </w:p>
        </w:tc>
      </w:tr>
      <w:tr>
        <w:trPr>
          <w:tblHeader w:val="false"/>
        </w:trPr>
        <w:tc>
          <w:tcPr>
            <w:tcW w:type="dxa" w:w="9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E7</w:t>
            </w:r>
          </w:p>
        </w:tc>
        <w:tc>
          <w:tcPr>
            <w:tcW w:type="dxa" w:w="55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External penetration test report — Greyline Security Ltd</w:t>
            </w:r>
          </w:p>
        </w:tc>
        <w:tc>
          <w:tcPr>
            <w:tcW w:type="dxa" w:w="29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Dated 28 November 2025</w:t>
            </w:r>
          </w:p>
        </w:tc>
      </w:tr>
    </w:tbl>
    <w:p>
      <w:pPr>
        <w:spacing w:after="120" w:before="0"/>
      </w:pPr>
      <w:r>
        <w:rPr>
          <w:rFonts w:ascii="Arial" w:cs="Arial" w:eastAsia="Arial" w:hAnsi="Arial"/>
          <w:sz w:val="21"/>
          <w:szCs w:val="21"/>
        </w:rPr>
        <w:t xml:space="preserve"/>
      </w:r>
    </w:p>
    <w:p>
      <w:pPr>
        <w:spacing w:after="120" w:before="0"/>
      </w:pPr>
      <w:r>
        <w:rPr>
          <w:rFonts w:ascii="Arial" w:cs="Arial" w:eastAsia="Arial" w:hAnsi="Arial"/>
          <w:i/>
          <w:iCs/>
          <w:sz w:val="21"/>
          <w:szCs w:val="21"/>
        </w:rPr>
        <w:t xml:space="preserve">Not provided despite request: SOC 2 bridge letter; ISO 27001 certificate (current); Cerulean Support Services assurance report; DR test report for 2025/2026; retest report for the penetration test.</w:t>
      </w:r>
    </w:p>
    <w:p>
      <w:r>
        <w:br w:type="page"/>
      </w:r>
    </w:p>
    <w:p>
      <w:pPr>
        <w:pStyle w:val="Heading1"/>
        <w:spacing w:after="140" w:before="320"/>
      </w:pPr>
      <w:r>
        <w:rPr>
          <w:rFonts w:ascii="Arial" w:cs="Arial" w:eastAsia="Arial" w:hAnsi="Arial"/>
        </w:rPr>
        <w:t xml:space="preserve">13. Inherent risk input summary</w:t>
      </w:r>
    </w:p>
    <w:p>
      <w:pPr>
        <w:spacing w:after="120" w:before="0"/>
      </w:pPr>
      <w:r>
        <w:rPr>
          <w:rFonts w:ascii="Arial" w:cs="Arial" w:eastAsia="Arial" w:hAnsi="Arial"/>
          <w:sz w:val="21"/>
          <w:szCs w:val="21"/>
        </w:rPr>
        <w:t xml:space="preserve">The following values are to be entered into the TPRM tool for the inherent risk assessment.</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3200"/>
        <w:gridCol w:w="6160"/>
      </w:tblGrid>
      <w:tr>
        <w:trPr>
          <w:tblHeader/>
        </w:trPr>
        <w:tc>
          <w:tcPr>
            <w:tcW w:type="dxa" w:w="320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Factor</w:t>
            </w:r>
          </w:p>
        </w:tc>
        <w:tc>
          <w:tcPr>
            <w:tcW w:type="dxa" w:w="6160"/>
            <w:shd w:fill="D9D9D9" w:color="auto" w:val="clear"/>
            <w:tcMar>
              <w:top w:type="dxa" w:w="60"/>
              <w:left w:type="dxa" w:w="100"/>
              <w:bottom w:type="dxa" w:w="60"/>
              <w:right w:type="dxa" w:w="100"/>
            </w:tcMar>
            <w:vAlign w:val="center"/>
          </w:tcPr>
          <w:p>
            <w:pPr>
              <w:spacing w:after="0"/>
            </w:pPr>
            <w:r>
              <w:rPr>
                <w:rFonts w:ascii="Arial" w:cs="Arial" w:eastAsia="Arial" w:hAnsi="Arial"/>
                <w:b/>
                <w:bCs/>
                <w:sz w:val="19"/>
                <w:szCs w:val="19"/>
              </w:rPr>
              <w:t xml:space="preserve">Value</w:t>
            </w:r>
          </w:p>
        </w:tc>
      </w:tr>
      <w:tr>
        <w:trPr>
          <w:tblHeader w:val="false"/>
        </w:trPr>
        <w:tc>
          <w:tcPr>
            <w:tcW w:type="dxa" w:w="3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Service type</w:t>
            </w:r>
          </w:p>
        </w:tc>
        <w:tc>
          <w:tcPr>
            <w:tcW w:type="dxa" w:w="6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Cloud SaaS — client onboarding / KYC platform</w:t>
            </w:r>
          </w:p>
        </w:tc>
      </w:tr>
      <w:tr>
        <w:trPr>
          <w:tblHeader w:val="false"/>
        </w:trPr>
        <w:tc>
          <w:tcPr>
            <w:tcW w:type="dxa" w:w="3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Data classification (highest)</w:t>
            </w:r>
          </w:p>
        </w:tc>
        <w:tc>
          <w:tcPr>
            <w:tcW w:type="dxa" w:w="6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Highly Confidential — personal identity data and government ID numbers</w:t>
            </w:r>
          </w:p>
        </w:tc>
      </w:tr>
      <w:tr>
        <w:trPr>
          <w:tblHeader w:val="false"/>
        </w:trPr>
        <w:tc>
          <w:tcPr>
            <w:tcW w:type="dxa" w:w="3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Personal data</w:t>
            </w:r>
          </w:p>
        </w:tc>
        <w:tc>
          <w:tcPr>
            <w:tcW w:type="dxa" w:w="6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Yes — approximately 380,000 individuals, including EU residents</w:t>
            </w:r>
          </w:p>
        </w:tc>
      </w:tr>
      <w:tr>
        <w:trPr>
          <w:tblHeader w:val="false"/>
        </w:trPr>
        <w:tc>
          <w:tcPr>
            <w:tcW w:type="dxa" w:w="3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Special categories / financial-crime data</w:t>
            </w:r>
          </w:p>
        </w:tc>
        <w:tc>
          <w:tcPr>
            <w:tcW w:type="dxa" w:w="6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Yes — sanctions, PEP and adverse-media screening results</w:t>
            </w:r>
          </w:p>
        </w:tc>
      </w:tr>
      <w:tr>
        <w:trPr>
          <w:tblHeader w:val="false"/>
        </w:trPr>
        <w:tc>
          <w:tcPr>
            <w:tcW w:type="dxa" w:w="3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Record volume</w:t>
            </w:r>
          </w:p>
        </w:tc>
        <w:tc>
          <w:tcPr>
            <w:tcW w:type="dxa" w:w="6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&gt; 100,000 individuals; &gt; 1 million documents</w:t>
            </w:r>
          </w:p>
        </w:tc>
      </w:tr>
      <w:tr>
        <w:trPr>
          <w:tblHeader w:val="false"/>
        </w:trPr>
        <w:tc>
          <w:tcPr>
            <w:tcW w:type="dxa" w:w="3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Business criticality</w:t>
            </w:r>
          </w:p>
        </w:tc>
        <w:tc>
          <w:tcPr>
            <w:tcW w:type="dxa" w:w="6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Material outsourcing; Recovery Tier 2 (RTO 8h / RPO 1h); manual workaround 5 business days</w:t>
            </w:r>
          </w:p>
        </w:tc>
      </w:tr>
      <w:tr>
        <w:trPr>
          <w:tblHeader w:val="false"/>
        </w:trPr>
        <w:tc>
          <w:tcPr>
            <w:tcW w:type="dxa" w:w="3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Regulatory scope</w:t>
            </w:r>
          </w:p>
        </w:tc>
        <w:tc>
          <w:tcPr>
            <w:tcW w:type="dxa" w:w="6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HKMA SPM SA-2 / OR-2, MAS Outsourcing Guidelines and TRM Guidelines, HK PDPO, Singapore PDPA, GDPR, AML/CFT record keeping</w:t>
            </w:r>
          </w:p>
        </w:tc>
      </w:tr>
      <w:tr>
        <w:trPr>
          <w:tblHeader w:val="false"/>
        </w:trPr>
        <w:tc>
          <w:tcPr>
            <w:tcW w:type="dxa" w:w="3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Connectivity</w:t>
            </w:r>
          </w:p>
        </w:tc>
        <w:tc>
          <w:tcPr>
            <w:tcW w:type="dxa" w:w="6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API and SFTP integration; SAML SSO; no inbound access to Bank network</w:t>
            </w:r>
          </w:p>
        </w:tc>
      </w:tr>
      <w:tr>
        <w:trPr>
          <w:tblHeader w:val="false"/>
        </w:trPr>
        <w:tc>
          <w:tcPr>
            <w:tcW w:type="dxa" w:w="3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Vendor access to Bank data</w:t>
            </w:r>
          </w:p>
        </w:tc>
        <w:tc>
          <w:tcPr>
            <w:tcW w:type="dxa" w:w="6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Yes — production administrators (Singapore), L3 support (India), tier-1 support contractor (Philippines)</w:t>
            </w:r>
          </w:p>
        </w:tc>
      </w:tr>
      <w:tr>
        <w:trPr>
          <w:tblHeader w:val="false"/>
        </w:trPr>
        <w:tc>
          <w:tcPr>
            <w:tcW w:type="dxa" w:w="3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Data locations</w:t>
            </w:r>
          </w:p>
        </w:tc>
        <w:tc>
          <w:tcPr>
            <w:tcW w:type="dxa" w:w="6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Singapore (primary), Ireland (DR), India (support access), Philippines (support access), United States (AI processing, monitoring)</w:t>
            </w:r>
          </w:p>
        </w:tc>
      </w:tr>
      <w:tr>
        <w:trPr>
          <w:tblHeader w:val="false"/>
        </w:trPr>
        <w:tc>
          <w:tcPr>
            <w:tcW w:type="dxa" w:w="3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Fourth parties with data access</w:t>
            </w:r>
          </w:p>
        </w:tc>
        <w:tc>
          <w:tcPr>
            <w:tcW w:type="dxa" w:w="6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6 identified</w:t>
            </w:r>
          </w:p>
        </w:tc>
      </w:tr>
      <w:tr>
        <w:trPr>
          <w:tblHeader w:val="false"/>
        </w:trPr>
        <w:tc>
          <w:tcPr>
            <w:tcW w:type="dxa" w:w="3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Annual contract value</w:t>
            </w:r>
          </w:p>
        </w:tc>
        <w:tc>
          <w:tcPr>
            <w:tcW w:type="dxa" w:w="6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USD 1.4 million</w:t>
            </w:r>
          </w:p>
        </w:tc>
      </w:tr>
      <w:tr>
        <w:trPr>
          <w:tblHeader w:val="false"/>
        </w:trPr>
        <w:tc>
          <w:tcPr>
            <w:tcW w:type="dxa" w:w="3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Term</w:t>
            </w:r>
          </w:p>
        </w:tc>
        <w:tc>
          <w:tcPr>
            <w:tcW w:type="dxa" w:w="6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3 years from February 2025</w:t>
            </w:r>
          </w:p>
        </w:tc>
      </w:tr>
      <w:tr>
        <w:trPr>
          <w:tblHeader w:val="false"/>
        </w:trPr>
        <w:tc>
          <w:tcPr>
            <w:tcW w:type="dxa" w:w="3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Substitutability</w:t>
            </w:r>
          </w:p>
        </w:tc>
        <w:tc>
          <w:tcPr>
            <w:tcW w:type="dxa" w:w="6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Low — 6 to 9 months to exit; sole APAC onboarding platform</w:t>
            </w:r>
          </w:p>
        </w:tc>
      </w:tr>
      <w:tr>
        <w:trPr>
          <w:tblHeader w:val="false"/>
        </w:trPr>
        <w:tc>
          <w:tcPr>
            <w:tcW w:type="dxa" w:w="3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Concentration</w:t>
            </w:r>
          </w:p>
        </w:tc>
        <w:tc>
          <w:tcPr>
            <w:tcW w:type="dxa" w:w="6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Bank is vendor's largest customer (~11% of ARR)</w:t>
            </w:r>
          </w:p>
        </w:tc>
      </w:tr>
      <w:tr>
        <w:trPr>
          <w:tblHeader w:val="false"/>
        </w:trPr>
        <w:tc>
          <w:tcPr>
            <w:tcW w:type="dxa" w:w="3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Vendor financial standing</w:t>
            </w:r>
          </w:p>
        </w:tc>
        <w:tc>
          <w:tcPr>
            <w:tcW w:type="dxa" w:w="6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Privately held, Series C, profitable since FY2024</w:t>
            </w:r>
          </w:p>
        </w:tc>
      </w:tr>
      <w:tr>
        <w:trPr>
          <w:tblHeader w:val="false"/>
        </w:trPr>
        <w:tc>
          <w:tcPr>
            <w:tcW w:type="dxa" w:w="320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Prior incidents</w:t>
            </w:r>
          </w:p>
        </w:tc>
        <w:tc>
          <w:tcPr>
            <w:tcW w:type="dxa" w:w="6160"/>
            <w:tcMar>
              <w:top w:type="dxa" w:w="60"/>
              <w:left w:type="dxa" w:w="100"/>
              <w:bottom w:type="dxa" w:w="60"/>
              <w:right w:type="dxa" w:w="100"/>
            </w:tcMar>
            <w:vAlign w:val="center"/>
          </w:tcPr>
          <w:p>
            <w:pPr>
              <w:spacing w:after="0"/>
            </w:pPr>
            <w:r>
              <w:rPr>
                <w:rFonts w:ascii="Arial" w:cs="Arial" w:eastAsia="Arial" w:hAnsi="Arial"/>
                <w:b w:val="false"/>
                <w:bCs w:val="false"/>
                <w:sz w:val="19"/>
                <w:szCs w:val="19"/>
              </w:rPr>
              <w:t xml:space="preserve">None reported to the Bank since go-live</w:t>
            </w:r>
          </w:p>
        </w:tc>
      </w:tr>
    </w:tbl>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Northgate Bank (Asia) Limited — Internal — TPRM engagement summary: Veltrix Onboard</w:t>
    </w:r>
    <w:r>
      <w:rPr>
        <w:rFonts w:ascii="Arial" w:cs="Arial" w:eastAsia="Arial" w:hAnsi="Arial"/>
        <w:color w:val="808080"/>
        <w:sz w:val="16"/>
        <w:szCs w:val="16"/>
      </w:rPr>
      <w:t xml:space="preserve">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Northgate Bank (Asia) Limited — Third Party Risk Management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A5F"/>
      <w:sz w:val="30"/>
      <w:szCs w:val="30"/>
    </w:rPr>
  </w:style>
  <w:style w:type="paragraph" w:styleId="Heading2">
    <w:name w:val="Heading 2"/>
    <w:basedOn w:val="Normal"/>
    <w:next w:val="Normal"/>
    <w:qFormat/>
    <w:pPr>
      <w:outlineLvl w:val="1"/>
    </w:pPr>
    <w:rPr>
      <w:rFonts w:ascii="Arial" w:cs="Arial" w:eastAsia="Arial" w:hAnsi="Arial"/>
      <w:b/>
      <w:bCs/>
      <w:color w:val="1F3A5F"/>
      <w:sz w:val="25"/>
      <w:szCs w:val="25"/>
    </w:rPr>
  </w:style>
  <w:style w:type="paragraph" w:styleId="Heading3">
    <w:name w:val="Heading 3"/>
    <w:basedOn w:val="Normal"/>
    <w:next w:val="Normal"/>
    <w:qFormat/>
    <w:pPr>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Third Party Engagement Summary</dc:title>
  <dc:creator>Northgate Bank (Asia) Limited — Third Party Risk Management</dc:creator>
  <cp:lastModifiedBy>Un-named</cp:lastModifiedBy>
  <cp:revision>1</cp:revision>
  <dcterms:created xsi:type="dcterms:W3CDTF">2026-09-02T00:23:32.936Z</dcterms:created>
  <dcterms:modified xsi:type="dcterms:W3CDTF">2026-09-02T00:23:32.954Z</dcterms:modified>
</cp:coreProperties>
</file>

<file path=docProps/custom.xml><?xml version="1.0" encoding="utf-8"?>
<Properties xmlns="http://schemas.openxmlformats.org/officeDocument/2006/custom-properties" xmlns:vt="http://schemas.openxmlformats.org/officeDocument/2006/docPropsVTypes"/>
</file>