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F3A5F"/>
          <w:sz w:val="40"/>
          <w:szCs w:val="40"/>
        </w:rPr>
        <w:t xml:space="preserve">Information Security Policy</w:t>
      </w:r>
    </w:p>
    <w:p>
      <w:pPr>
        <w:pBdr>
          <w:bottom w:val="single" w:color="1F3A5F" w:sz="8" w:space="6"/>
        </w:pBdr>
        <w:spacing w:after="400"/>
      </w:pPr>
      <w:r>
        <w:rPr>
          <w:rFonts w:ascii="Arial" w:cs="Arial" w:eastAsia="Arial" w:hAnsi="Arial"/>
          <w:color w:val="595959"/>
          <w:sz w:val="24"/>
          <w:szCs w:val="24"/>
        </w:rPr>
        <w:t xml:space="preserve">Veltrix Onboard Pte. Ltd. — VLX-POL-001 v3.2</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800"/>
        <w:gridCol w:w="6560"/>
      </w:tblGrid>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Document ID</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VLX-POL-001</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Version</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3.2</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Document owner</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Head of Security &amp; Compliance (Marcus Lim)</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Approved by</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Chief Executive Officer (Daniel Koh)</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Classification</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Internal — shareable with customers under NDA</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Effective date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14 February 2024</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Last reviewed</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14 February 2024</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Next review due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14 February 2025</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Review cycle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This policy is reviewed at least annually and upon significant change to the business or threat environment.</w:t>
            </w:r>
          </w:p>
        </w:tc>
      </w:tr>
    </w:tbl>
    <w:p>
      <w:pPr>
        <w:spacing w:after="120" w:before="0"/>
      </w:pPr>
      <w:r>
        <w:rPr>
          <w:rFonts w:ascii="Arial" w:cs="Arial" w:eastAsia="Arial" w:hAnsi="Arial"/>
          <w:sz w:val="21"/>
          <w:szCs w:val="21"/>
        </w:rPr>
        <w:t xml:space="preserve"/>
      </w:r>
    </w:p>
    <w:p>
      <w:pPr>
        <w:pStyle w:val="Heading1"/>
        <w:spacing w:after="140" w:before="320"/>
      </w:pPr>
      <w:r>
        <w:rPr>
          <w:rFonts w:ascii="Arial" w:cs="Arial" w:eastAsia="Arial" w:hAnsi="Arial"/>
        </w:rPr>
        <w:t xml:space="preserve">1. Purpose and scope</w:t>
      </w:r>
    </w:p>
    <w:p>
      <w:pPr>
        <w:spacing w:after="120" w:before="0"/>
      </w:pPr>
      <w:r>
        <w:rPr>
          <w:rFonts w:ascii="Arial" w:cs="Arial" w:eastAsia="Arial" w:hAnsi="Arial"/>
          <w:sz w:val="21"/>
          <w:szCs w:val="21"/>
        </w:rPr>
        <w:t xml:space="preserve">This Information Security Policy establishes the principles, responsibilities and minimum controls for protecting information assets owned or processed by Veltrix Onboard Pte. Ltd. and its subsidiaries ("Veltrix"). It applies to all employees, contractors and third parties who access Veltrix information systems, and to all information processed on behalf of customers through the Veltrix Onboard platform.</w:t>
      </w:r>
    </w:p>
    <w:p>
      <w:pPr>
        <w:spacing w:after="120" w:before="0"/>
      </w:pPr>
      <w:r>
        <w:rPr>
          <w:rFonts w:ascii="Arial" w:cs="Arial" w:eastAsia="Arial" w:hAnsi="Arial"/>
          <w:sz w:val="21"/>
          <w:szCs w:val="21"/>
        </w:rPr>
        <w:t xml:space="preserve">Supporting standards and procedures (access control, incident response, business continuity, secure development, supplier management) are maintained as separate documents and inherit the requirements of this policy.</w:t>
      </w:r>
    </w:p>
    <w:p>
      <w:pPr>
        <w:pStyle w:val="Heading1"/>
        <w:spacing w:after="140" w:before="320"/>
      </w:pPr>
      <w:r>
        <w:rPr>
          <w:rFonts w:ascii="Arial" w:cs="Arial" w:eastAsia="Arial" w:hAnsi="Arial"/>
        </w:rPr>
        <w:t xml:space="preserve">2. Framework alignment</w:t>
      </w:r>
    </w:p>
    <w:p>
      <w:pPr>
        <w:spacing w:after="120" w:before="0"/>
      </w:pPr>
      <w:r>
        <w:rPr>
          <w:rFonts w:ascii="Arial" w:cs="Arial" w:eastAsia="Arial" w:hAnsi="Arial"/>
          <w:sz w:val="21"/>
          <w:szCs w:val="21"/>
        </w:rPr>
        <w:t xml:space="preserve">The Veltrix information security management system (ISMS) is designed to meet the requirements of ISO/IEC 27001:2022 and is structured around the five functions of the NIST Cybersecurity Framework version 1.1 (Identify, Protect, Detect, Respond, Recover). Control selection is informed by the AICPA Trust Services Criteria for Security, Availability and Confidentiality.</w:t>
      </w:r>
    </w:p>
    <w:p>
      <w:pPr>
        <w:pStyle w:val="Heading1"/>
        <w:spacing w:after="140" w:before="320"/>
      </w:pPr>
      <w:r>
        <w:rPr>
          <w:rFonts w:ascii="Arial" w:cs="Arial" w:eastAsia="Arial" w:hAnsi="Arial"/>
        </w:rPr>
        <w:t xml:space="preserve">3. Roles and responsibilities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800"/>
        <w:gridCol w:w="6560"/>
      </w:tblGrid>
      <w:tr>
        <w:trPr>
          <w:tblHeader/>
        </w:trPr>
        <w:tc>
          <w:tcPr>
            <w:tcW w:type="dxa" w:w="28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Role</w:t>
            </w:r>
          </w:p>
        </w:tc>
        <w:tc>
          <w:tcPr>
            <w:tcW w:type="dxa" w:w="65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Responsibility</w:t>
            </w:r>
          </w:p>
        </w:tc>
      </w:tr>
      <w:tr>
        <w:trPr>
          <w:tblHeader w:val="false"/>
        </w:trPr>
        <w:tc>
          <w:tcPr>
            <w:tcW w:type="dxa" w:w="2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Board of Directors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Approves risk appetite; receives a quarterly security report.</w:t>
            </w:r>
          </w:p>
        </w:tc>
      </w:tr>
      <w:tr>
        <w:trPr>
          <w:tblHeader w:val="false"/>
        </w:trPr>
        <w:tc>
          <w:tcPr>
            <w:tcW w:type="dxa" w:w="2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Chief Executive Officer</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Approves this policy and allocates resources.</w:t>
            </w:r>
          </w:p>
        </w:tc>
      </w:tr>
      <w:tr>
        <w:trPr>
          <w:tblHeader w:val="false"/>
        </w:trPr>
        <w:tc>
          <w:tcPr>
            <w:tcW w:type="dxa" w:w="2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Head of Security &amp; Compliance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Owns the ISMS, this policy and the risk register; reports security metrics monthly to the executive team.</w:t>
            </w:r>
          </w:p>
        </w:tc>
      </w:tr>
      <w:tr>
        <w:trPr>
          <w:tblHeader w:val="false"/>
        </w:trPr>
        <w:tc>
          <w:tcPr>
            <w:tcW w:type="dxa" w:w="2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Chief Technology Officer</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Accountable for the security of the platform, infrastructure and the software development lifecycle.</w:t>
            </w:r>
          </w:p>
        </w:tc>
      </w:tr>
      <w:tr>
        <w:trPr>
          <w:tblHeader w:val="false"/>
        </w:trPr>
        <w:tc>
          <w:tcPr>
            <w:tcW w:type="dxa" w:w="2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Engineering and Operations managers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Implement controls within their teams; approve access for their staff.</w:t>
            </w:r>
          </w:p>
        </w:tc>
      </w:tr>
      <w:tr>
        <w:trPr>
          <w:tblHeader w:val="false"/>
        </w:trPr>
        <w:tc>
          <w:tcPr>
            <w:tcW w:type="dxa" w:w="2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All personnel</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Comply with this policy and report suspected security events.</w:t>
            </w:r>
          </w:p>
        </w:tc>
      </w:tr>
    </w:tbl>
    <w:p>
      <w:pPr>
        <w:pStyle w:val="Heading1"/>
        <w:spacing w:after="140" w:before="320"/>
      </w:pPr>
      <w:r>
        <w:rPr>
          <w:rFonts w:ascii="Arial" w:cs="Arial" w:eastAsia="Arial" w:hAnsi="Arial"/>
        </w:rPr>
        <w:t xml:space="preserve">4. Information classification</w:t>
      </w:r>
    </w:p>
    <w:p>
      <w:pPr>
        <w:spacing w:after="120" w:before="0"/>
      </w:pPr>
      <w:r>
        <w:rPr>
          <w:rFonts w:ascii="Arial" w:cs="Arial" w:eastAsia="Arial" w:hAnsi="Arial"/>
          <w:sz w:val="21"/>
          <w:szCs w:val="21"/>
        </w:rPr>
        <w:t xml:space="preserve">Information is classified into four levels. Customer Data (data processed on behalf of customers, including personal data and identity documents) is always classified as Restricted.</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600"/>
        <w:gridCol w:w="3800"/>
        <w:gridCol w:w="3960"/>
      </w:tblGrid>
      <w:tr>
        <w:trPr>
          <w:tblHeader/>
        </w:trPr>
        <w:tc>
          <w:tcPr>
            <w:tcW w:type="dxa" w:w="16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Level</w:t>
            </w:r>
          </w:p>
        </w:tc>
        <w:tc>
          <w:tcPr>
            <w:tcW w:type="dxa" w:w="38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Description</w:t>
            </w:r>
          </w:p>
        </w:tc>
        <w:tc>
          <w:tcPr>
            <w:tcW w:type="dxa" w:w="39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Handling</w:t>
            </w:r>
          </w:p>
        </w:tc>
      </w:tr>
      <w:tr>
        <w:trPr>
          <w:tblHeader w:val="false"/>
        </w:trPr>
        <w:tc>
          <w:tcPr>
            <w:tcW w:type="dxa" w:w="1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Public</w:t>
            </w:r>
          </w:p>
        </w:tc>
        <w:tc>
          <w:tcPr>
            <w:tcW w:type="dxa" w:w="3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Approved for release</w:t>
            </w:r>
          </w:p>
        </w:tc>
        <w:tc>
          <w:tcPr>
            <w:tcW w:type="dxa" w:w="3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No restriction</w:t>
            </w:r>
          </w:p>
        </w:tc>
      </w:tr>
      <w:tr>
        <w:trPr>
          <w:tblHeader w:val="false"/>
        </w:trPr>
        <w:tc>
          <w:tcPr>
            <w:tcW w:type="dxa" w:w="1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Internal</w:t>
            </w:r>
          </w:p>
        </w:tc>
        <w:tc>
          <w:tcPr>
            <w:tcW w:type="dxa" w:w="3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General business information</w:t>
            </w:r>
          </w:p>
        </w:tc>
        <w:tc>
          <w:tcPr>
            <w:tcW w:type="dxa" w:w="3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Not for external distribution without approval</w:t>
            </w:r>
          </w:p>
        </w:tc>
      </w:tr>
      <w:tr>
        <w:trPr>
          <w:tblHeader w:val="false"/>
        </w:trPr>
        <w:tc>
          <w:tcPr>
            <w:tcW w:type="dxa" w:w="1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Confidential</w:t>
            </w:r>
          </w:p>
        </w:tc>
        <w:tc>
          <w:tcPr>
            <w:tcW w:type="dxa" w:w="3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Commercially sensitive information; employee personal data</w:t>
            </w:r>
          </w:p>
        </w:tc>
        <w:tc>
          <w:tcPr>
            <w:tcW w:type="dxa" w:w="3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Need-to-know; encrypted in transit</w:t>
            </w:r>
          </w:p>
        </w:tc>
      </w:tr>
      <w:tr>
        <w:trPr>
          <w:tblHeader w:val="false"/>
        </w:trPr>
        <w:tc>
          <w:tcPr>
            <w:tcW w:type="dxa" w:w="1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Restricted</w:t>
            </w:r>
          </w:p>
        </w:tc>
        <w:tc>
          <w:tcPr>
            <w:tcW w:type="dxa" w:w="3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Customer Data; credentials; encryption keys</w:t>
            </w:r>
          </w:p>
        </w:tc>
        <w:tc>
          <w:tcPr>
            <w:tcW w:type="dxa" w:w="3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Need-to-know; encrypted at rest and in transit; access logged; no storage on unmanaged devices</w:t>
            </w:r>
          </w:p>
        </w:tc>
      </w:tr>
    </w:tbl>
    <w:p>
      <w:pPr>
        <w:pStyle w:val="Heading1"/>
        <w:spacing w:after="140" w:before="320"/>
      </w:pPr>
      <w:r>
        <w:rPr>
          <w:rFonts w:ascii="Arial" w:cs="Arial" w:eastAsia="Arial" w:hAnsi="Arial"/>
        </w:rPr>
        <w:t xml:space="preserve">5. Acceptable use</w:t>
      </w:r>
    </w:p>
    <w:p>
      <w:pPr>
        <w:pStyle w:val="ListParagraph"/>
        <w:numPr>
          <w:ilvl w:val="0"/>
          <w:numId w:val="2"/>
        </w:numPr>
        <w:spacing w:after="60"/>
      </w:pPr>
      <w:r>
        <w:rPr>
          <w:rFonts w:ascii="Arial" w:cs="Arial" w:eastAsia="Arial" w:hAnsi="Arial"/>
          <w:sz w:val="21"/>
          <w:szCs w:val="21"/>
        </w:rPr>
        <w:t xml:space="preserve">Veltrix systems and Customer Data may be used only for authorised business purposes.</w:t>
      </w:r>
    </w:p>
    <w:p>
      <w:pPr>
        <w:pStyle w:val="ListParagraph"/>
        <w:numPr>
          <w:ilvl w:val="0"/>
          <w:numId w:val="2"/>
        </w:numPr>
        <w:spacing w:after="60"/>
      </w:pPr>
      <w:r>
        <w:rPr>
          <w:rFonts w:ascii="Arial" w:cs="Arial" w:eastAsia="Arial" w:hAnsi="Arial"/>
          <w:sz w:val="21"/>
          <w:szCs w:val="21"/>
        </w:rPr>
        <w:t xml:space="preserve">Customer Data must not be copied to personal devices, personal cloud storage or unapproved SaaS tools.</w:t>
      </w:r>
    </w:p>
    <w:p>
      <w:pPr>
        <w:pStyle w:val="ListParagraph"/>
        <w:numPr>
          <w:ilvl w:val="0"/>
          <w:numId w:val="2"/>
        </w:numPr>
        <w:spacing w:after="60"/>
      </w:pPr>
      <w:r>
        <w:rPr>
          <w:rFonts w:ascii="Arial" w:cs="Arial" w:eastAsia="Arial" w:hAnsi="Arial"/>
          <w:sz w:val="21"/>
          <w:szCs w:val="21"/>
        </w:rPr>
        <w:t xml:space="preserve">Personnel must lock workstations when unattended and must not share credentials.</w:t>
      </w:r>
    </w:p>
    <w:p>
      <w:pPr>
        <w:pStyle w:val="ListParagraph"/>
        <w:numPr>
          <w:ilvl w:val="0"/>
          <w:numId w:val="2"/>
        </w:numPr>
        <w:spacing w:after="60"/>
      </w:pPr>
      <w:r>
        <w:rPr>
          <w:rFonts w:ascii="Arial" w:cs="Arial" w:eastAsia="Arial" w:hAnsi="Arial"/>
          <w:sz w:val="21"/>
          <w:szCs w:val="21"/>
        </w:rPr>
        <w:t xml:space="preserve">Use of generative AI tools with Customer Data is permitted only through Veltrix-approved integrations.</w:t>
      </w:r>
    </w:p>
    <w:p>
      <w:pPr>
        <w:pStyle w:val="Heading1"/>
        <w:spacing w:after="140" w:before="320"/>
      </w:pPr>
      <w:r>
        <w:rPr>
          <w:rFonts w:ascii="Arial" w:cs="Arial" w:eastAsia="Arial" w:hAnsi="Arial"/>
        </w:rPr>
        <w:t xml:space="preserve">6. Asset management</w:t>
      </w:r>
    </w:p>
    <w:p>
      <w:pPr>
        <w:spacing w:after="120" w:before="0"/>
      </w:pPr>
      <w:r>
        <w:rPr>
          <w:rFonts w:ascii="Arial" w:cs="Arial" w:eastAsia="Arial" w:hAnsi="Arial"/>
          <w:sz w:val="21"/>
          <w:szCs w:val="21"/>
        </w:rPr>
        <w:t xml:space="preserve">All information assets are recorded in the asset inventory maintained by Operations. Each asset has a named owner responsible for its classification and protection. Laptops are centrally managed, full-disk encrypted, and remotely wipeable. Removable media is disabled on managed endpoints.</w:t>
      </w:r>
    </w:p>
    <w:p>
      <w:pPr>
        <w:pStyle w:val="Heading1"/>
        <w:spacing w:after="140" w:before="320"/>
      </w:pPr>
      <w:r>
        <w:rPr>
          <w:rFonts w:ascii="Arial" w:cs="Arial" w:eastAsia="Arial" w:hAnsi="Arial"/>
        </w:rPr>
        <w:t xml:space="preserve">7. Human resources security</w:t>
      </w:r>
    </w:p>
    <w:p>
      <w:pPr>
        <w:pStyle w:val="Heading2"/>
        <w:spacing w:after="100" w:before="240"/>
      </w:pPr>
      <w:r>
        <w:rPr>
          <w:rFonts w:ascii="Arial" w:cs="Arial" w:eastAsia="Arial" w:hAnsi="Arial"/>
        </w:rPr>
        <w:t xml:space="preserve">7.1 Screening</w:t>
      </w:r>
    </w:p>
    <w:p>
      <w:pPr>
        <w:spacing w:after="120" w:before="0"/>
      </w:pPr>
      <w:r>
        <w:rPr>
          <w:rFonts w:ascii="Arial" w:cs="Arial" w:eastAsia="Arial" w:hAnsi="Arial"/>
          <w:sz w:val="21"/>
          <w:szCs w:val="21"/>
        </w:rPr>
        <w:t xml:space="preserve">Veltrix employees undergo pre-employment screening consisting of identity verification, right-to-work confirmation, employment history verification and, where permitted by local law, criminal record checks. Personnel of contractors and outsourced support providers are screened at the discretion of the supplier in accordance with the supplier's own procedures.</w:t>
      </w:r>
    </w:p>
    <w:p>
      <w:pPr>
        <w:pStyle w:val="Heading2"/>
        <w:spacing w:after="100" w:before="240"/>
      </w:pPr>
      <w:r>
        <w:rPr>
          <w:rFonts w:ascii="Arial" w:cs="Arial" w:eastAsia="Arial" w:hAnsi="Arial"/>
        </w:rPr>
        <w:t xml:space="preserve">7.2 Terms of employment</w:t>
      </w:r>
    </w:p>
    <w:p>
      <w:pPr>
        <w:spacing w:after="120" w:before="0"/>
      </w:pPr>
      <w:r>
        <w:rPr>
          <w:rFonts w:ascii="Arial" w:cs="Arial" w:eastAsia="Arial" w:hAnsi="Arial"/>
          <w:sz w:val="21"/>
          <w:szCs w:val="21"/>
        </w:rPr>
        <w:t xml:space="preserve">All employees sign confidentiality and acceptable-use agreements on joining. Contractors are bound by the confidentiality terms of their engagement contract.</w:t>
      </w:r>
    </w:p>
    <w:p>
      <w:pPr>
        <w:pStyle w:val="Heading2"/>
        <w:spacing w:after="100" w:before="240"/>
      </w:pPr>
      <w:r>
        <w:rPr>
          <w:rFonts w:ascii="Arial" w:cs="Arial" w:eastAsia="Arial" w:hAnsi="Arial"/>
        </w:rPr>
        <w:t xml:space="preserve">7.3 Awareness and training</w:t>
      </w:r>
    </w:p>
    <w:p>
      <w:pPr>
        <w:spacing w:after="120" w:before="0"/>
      </w:pPr>
      <w:r>
        <w:rPr>
          <w:rFonts w:ascii="Arial" w:cs="Arial" w:eastAsia="Arial" w:hAnsi="Arial"/>
          <w:sz w:val="21"/>
          <w:szCs w:val="21"/>
        </w:rPr>
        <w:t xml:space="preserve">Employees complete security awareness training on joining and annually thereafter; engineering staff complete secure-coding training annually. Completion is tracked by People Operations.</w:t>
      </w:r>
    </w:p>
    <w:p>
      <w:pPr>
        <w:pStyle w:val="Heading2"/>
        <w:spacing w:after="100" w:before="240"/>
      </w:pPr>
      <w:r>
        <w:rPr>
          <w:rFonts w:ascii="Arial" w:cs="Arial" w:eastAsia="Arial" w:hAnsi="Arial"/>
        </w:rPr>
        <w:t xml:space="preserve">7.4 Termination</w:t>
      </w:r>
    </w:p>
    <w:p>
      <w:pPr>
        <w:spacing w:after="120" w:before="0"/>
      </w:pPr>
      <w:r>
        <w:rPr>
          <w:rFonts w:ascii="Arial" w:cs="Arial" w:eastAsia="Arial" w:hAnsi="Arial"/>
          <w:sz w:val="21"/>
          <w:szCs w:val="21"/>
        </w:rPr>
        <w:t xml:space="preserve">Line managers notify People Operations and IT of leavers; access is removed on the last working day in accordance with the Access Control Policy.</w:t>
      </w:r>
    </w:p>
    <w:p>
      <w:pPr>
        <w:pStyle w:val="Heading1"/>
        <w:spacing w:after="140" w:before="320"/>
      </w:pPr>
      <w:r>
        <w:rPr>
          <w:rFonts w:ascii="Arial" w:cs="Arial" w:eastAsia="Arial" w:hAnsi="Arial"/>
        </w:rPr>
        <w:t xml:space="preserve">8. Cryptography</w:t>
      </w:r>
    </w:p>
    <w:p>
      <w:pPr>
        <w:pStyle w:val="Heading2"/>
        <w:spacing w:after="100" w:before="240"/>
      </w:pPr>
      <w:r>
        <w:rPr>
          <w:rFonts w:ascii="Arial" w:cs="Arial" w:eastAsia="Arial" w:hAnsi="Arial"/>
        </w:rPr>
        <w:t xml:space="preserve">8.1 Data in transit</w:t>
      </w:r>
    </w:p>
    <w:p>
      <w:pPr>
        <w:spacing w:after="120" w:before="0"/>
      </w:pPr>
      <w:r>
        <w:rPr>
          <w:rFonts w:ascii="Arial" w:cs="Arial" w:eastAsia="Arial" w:hAnsi="Arial"/>
          <w:sz w:val="21"/>
          <w:szCs w:val="21"/>
        </w:rPr>
        <w:t xml:space="preserve">All connections carrying Customer Data across public networks are encrypted using TLS 1.2 or higher with cipher suites approved by the Security team. Internal service-to-service traffic within the AWS environment is encrypted using mutual TLS.</w:t>
      </w:r>
    </w:p>
    <w:p>
      <w:pPr>
        <w:pStyle w:val="Heading2"/>
        <w:spacing w:after="100" w:before="240"/>
      </w:pPr>
      <w:r>
        <w:rPr>
          <w:rFonts w:ascii="Arial" w:cs="Arial" w:eastAsia="Arial" w:hAnsi="Arial"/>
        </w:rPr>
        <w:t xml:space="preserve">8.2 Data at rest</w:t>
      </w:r>
    </w:p>
    <w:p>
      <w:pPr>
        <w:spacing w:after="120" w:before="0"/>
      </w:pPr>
      <w:r>
        <w:rPr>
          <w:rFonts w:ascii="Arial" w:cs="Arial" w:eastAsia="Arial" w:hAnsi="Arial"/>
          <w:sz w:val="21"/>
          <w:szCs w:val="21"/>
        </w:rPr>
        <w:t xml:space="preserve">Customer Data is encrypted at rest using AES-256. Encryption keys are generated and managed by Veltrix in AWS Key Management Service, with separate keys per environment and annual key rotation. Support for customer-managed keys (bring your own key) is on the product roadmap and is not currently offered.</w:t>
      </w:r>
    </w:p>
    <w:p>
      <w:pPr>
        <w:pStyle w:val="Heading2"/>
        <w:spacing w:after="100" w:before="240"/>
      </w:pPr>
      <w:r>
        <w:rPr>
          <w:rFonts w:ascii="Arial" w:cs="Arial" w:eastAsia="Arial" w:hAnsi="Arial"/>
        </w:rPr>
        <w:t xml:space="preserve">8.3 Key management</w:t>
      </w:r>
    </w:p>
    <w:p>
      <w:pPr>
        <w:spacing w:after="120" w:before="0"/>
      </w:pPr>
      <w:r>
        <w:rPr>
          <w:rFonts w:ascii="Arial" w:cs="Arial" w:eastAsia="Arial" w:hAnsi="Arial"/>
          <w:sz w:val="21"/>
          <w:szCs w:val="21"/>
        </w:rPr>
        <w:t xml:space="preserve">Access to key management functions is restricted to the Platform Operations lead and the Head of Security &amp; Compliance. Key usage is logged in AWS CloudTrail.</w:t>
      </w:r>
    </w:p>
    <w:p>
      <w:pPr>
        <w:pStyle w:val="Heading1"/>
        <w:spacing w:after="140" w:before="320"/>
      </w:pPr>
      <w:r>
        <w:rPr>
          <w:rFonts w:ascii="Arial" w:cs="Arial" w:eastAsia="Arial" w:hAnsi="Arial"/>
        </w:rPr>
        <w:t xml:space="preserve">9. Vulnerability and patch management</w:t>
      </w:r>
    </w:p>
    <w:p>
      <w:pPr>
        <w:pStyle w:val="Heading2"/>
        <w:spacing w:after="100" w:before="240"/>
      </w:pPr>
      <w:r>
        <w:rPr>
          <w:rFonts w:ascii="Arial" w:cs="Arial" w:eastAsia="Arial" w:hAnsi="Arial"/>
        </w:rPr>
        <w:t xml:space="preserve">9.1 Scanning</w:t>
      </w:r>
    </w:p>
    <w:p>
      <w:pPr>
        <w:spacing w:after="120" w:before="0"/>
      </w:pPr>
      <w:r>
        <w:rPr>
          <w:rFonts w:ascii="Arial" w:cs="Arial" w:eastAsia="Arial" w:hAnsi="Arial"/>
          <w:sz w:val="21"/>
          <w:szCs w:val="21"/>
        </w:rPr>
        <w:t xml:space="preserve">Authenticated vulnerability scans of production infrastructure are performed weekly; container images are scanned on build; web application scanning is performed monthly.</w:t>
      </w:r>
    </w:p>
    <w:p>
      <w:pPr>
        <w:pStyle w:val="Heading2"/>
        <w:spacing w:after="100" w:before="240"/>
      </w:pPr>
      <w:r>
        <w:rPr>
          <w:rFonts w:ascii="Arial" w:cs="Arial" w:eastAsia="Arial" w:hAnsi="Arial"/>
        </w:rPr>
        <w:t xml:space="preserve">9.2 Penetration testing</w:t>
      </w:r>
    </w:p>
    <w:p>
      <w:pPr>
        <w:spacing w:after="120" w:before="0"/>
      </w:pPr>
      <w:r>
        <w:rPr>
          <w:rFonts w:ascii="Arial" w:cs="Arial" w:eastAsia="Arial" w:hAnsi="Arial"/>
          <w:sz w:val="21"/>
          <w:szCs w:val="21"/>
        </w:rPr>
        <w:t xml:space="preserve">An independent penetration test of the customer-facing platform is performed at least annually. Findings are tracked in the vulnerability register to closure.</w:t>
      </w:r>
    </w:p>
    <w:p>
      <w:pPr>
        <w:pStyle w:val="Heading2"/>
        <w:spacing w:after="100" w:before="240"/>
      </w:pPr>
      <w:r>
        <w:rPr>
          <w:rFonts w:ascii="Arial" w:cs="Arial" w:eastAsia="Arial" w:hAnsi="Arial"/>
        </w:rPr>
        <w:t xml:space="preserve">9.3 Remediation timelines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4000"/>
        <w:gridCol w:w="5360"/>
      </w:tblGrid>
      <w:tr>
        <w:trPr>
          <w:tblHeader/>
        </w:trPr>
        <w:tc>
          <w:tcPr>
            <w:tcW w:type="dxa" w:w="40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Severity (CVSS v3.1)</w:t>
            </w:r>
          </w:p>
        </w:tc>
        <w:tc>
          <w:tcPr>
            <w:tcW w:type="dxa" w:w="53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Remediation target</w:t>
            </w:r>
          </w:p>
        </w:tc>
      </w:tr>
      <w:tr>
        <w:trPr>
          <w:tblHeader w:val="false"/>
        </w:trPr>
        <w:tc>
          <w:tcPr>
            <w:tcW w:type="dxa" w:w="4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Critical (9.0–10.0)</w:t>
            </w:r>
          </w:p>
        </w:tc>
        <w:tc>
          <w:tcPr>
            <w:tcW w:type="dxa" w:w="5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30 calendar days</w:t>
            </w:r>
          </w:p>
        </w:tc>
      </w:tr>
      <w:tr>
        <w:trPr>
          <w:tblHeader w:val="false"/>
        </w:trPr>
        <w:tc>
          <w:tcPr>
            <w:tcW w:type="dxa" w:w="4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High (7.0–8.9)</w:t>
            </w:r>
          </w:p>
        </w:tc>
        <w:tc>
          <w:tcPr>
            <w:tcW w:type="dxa" w:w="5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60 calendar days</w:t>
            </w:r>
          </w:p>
        </w:tc>
      </w:tr>
      <w:tr>
        <w:trPr>
          <w:tblHeader w:val="false"/>
        </w:trPr>
        <w:tc>
          <w:tcPr>
            <w:tcW w:type="dxa" w:w="4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Medium (4.0–6.9)</w:t>
            </w:r>
          </w:p>
        </w:tc>
        <w:tc>
          <w:tcPr>
            <w:tcW w:type="dxa" w:w="5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90 calendar days</w:t>
            </w:r>
          </w:p>
        </w:tc>
      </w:tr>
      <w:tr>
        <w:trPr>
          <w:tblHeader w:val="false"/>
        </w:trPr>
        <w:tc>
          <w:tcPr>
            <w:tcW w:type="dxa" w:w="4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Low (0.1–3.9)</w:t>
            </w:r>
          </w:p>
        </w:tc>
        <w:tc>
          <w:tcPr>
            <w:tcW w:type="dxa" w:w="5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Next scheduled release</w:t>
            </w:r>
          </w:p>
        </w:tc>
      </w:tr>
    </w:tbl>
    <w:p>
      <w:pPr>
        <w:spacing w:after="120" w:before="0"/>
      </w:pPr>
      <w:r>
        <w:rPr>
          <w:rFonts w:ascii="Arial" w:cs="Arial" w:eastAsia="Arial" w:hAnsi="Arial"/>
          <w:sz w:val="21"/>
          <w:szCs w:val="21"/>
        </w:rPr>
        <w:t xml:space="preserve"/>
      </w:r>
    </w:p>
    <w:p>
      <w:pPr>
        <w:spacing w:after="120" w:before="0"/>
      </w:pPr>
      <w:r>
        <w:rPr>
          <w:rFonts w:ascii="Arial" w:cs="Arial" w:eastAsia="Arial" w:hAnsi="Arial"/>
          <w:sz w:val="21"/>
          <w:szCs w:val="21"/>
        </w:rPr>
        <w:t xml:space="preserve">Exceptions to remediation targets require approval by the Chief Technology Officer and are recorded in the risk register.</w:t>
      </w:r>
    </w:p>
    <w:p>
      <w:pPr>
        <w:pStyle w:val="Heading1"/>
        <w:spacing w:after="140" w:before="320"/>
      </w:pPr>
      <w:r>
        <w:rPr>
          <w:rFonts w:ascii="Arial" w:cs="Arial" w:eastAsia="Arial" w:hAnsi="Arial"/>
        </w:rPr>
        <w:t xml:space="preserve">10. Logging and monitoring</w:t>
      </w:r>
    </w:p>
    <w:p>
      <w:pPr>
        <w:pStyle w:val="Heading2"/>
        <w:spacing w:after="100" w:before="240"/>
      </w:pPr>
      <w:r>
        <w:rPr>
          <w:rFonts w:ascii="Arial" w:cs="Arial" w:eastAsia="Arial" w:hAnsi="Arial"/>
        </w:rPr>
        <w:t xml:space="preserve">10.1 Logging</w:t>
      </w:r>
    </w:p>
    <w:p>
      <w:pPr>
        <w:spacing w:after="120" w:before="0"/>
      </w:pPr>
      <w:r>
        <w:rPr>
          <w:rFonts w:ascii="Arial" w:cs="Arial" w:eastAsia="Arial" w:hAnsi="Arial"/>
          <w:sz w:val="21"/>
          <w:szCs w:val="21"/>
        </w:rPr>
        <w:t xml:space="preserve">Security-relevant events (authentication, authorisation changes, administrative actions, access to Customer Data, and infrastructure changes) are logged centrally. Logs are protected from modification and access to logs is restricted to the Security and Operations teams.</w:t>
      </w:r>
    </w:p>
    <w:p>
      <w:pPr>
        <w:pStyle w:val="Heading2"/>
        <w:spacing w:after="100" w:before="240"/>
      </w:pPr>
      <w:r>
        <w:rPr>
          <w:rFonts w:ascii="Arial" w:cs="Arial" w:eastAsia="Arial" w:hAnsi="Arial"/>
        </w:rPr>
        <w:t xml:space="preserve">10.2 Retention</w:t>
      </w:r>
    </w:p>
    <w:p>
      <w:pPr>
        <w:spacing w:after="120" w:before="0"/>
      </w:pPr>
      <w:r>
        <w:rPr>
          <w:rFonts w:ascii="Arial" w:cs="Arial" w:eastAsia="Arial" w:hAnsi="Arial"/>
          <w:sz w:val="21"/>
          <w:szCs w:val="21"/>
        </w:rPr>
        <w:t xml:space="preserve">Security logs are retained online for 90 days in the central logging platform. Older logs are archived to object storage where storage permits and may be retrieved on request to the Operations team.</w:t>
      </w:r>
    </w:p>
    <w:p>
      <w:pPr>
        <w:pStyle w:val="Heading2"/>
        <w:spacing w:after="100" w:before="240"/>
      </w:pPr>
      <w:r>
        <w:rPr>
          <w:rFonts w:ascii="Arial" w:cs="Arial" w:eastAsia="Arial" w:hAnsi="Arial"/>
        </w:rPr>
        <w:t xml:space="preserve">10.3 Monitoring</w:t>
      </w:r>
    </w:p>
    <w:p>
      <w:pPr>
        <w:spacing w:after="120" w:before="0"/>
      </w:pPr>
      <w:r>
        <w:rPr>
          <w:rFonts w:ascii="Arial" w:cs="Arial" w:eastAsia="Arial" w:hAnsi="Arial"/>
          <w:sz w:val="21"/>
          <w:szCs w:val="21"/>
        </w:rPr>
        <w:t xml:space="preserve">Alerts generated by the logging platform are reviewed by the Operations on-call engineer. High-priority alerts are escalated to the Security team in accordance with the Incident Response Policy.</w:t>
      </w:r>
    </w:p>
    <w:p>
      <w:pPr>
        <w:pStyle w:val="Heading1"/>
        <w:spacing w:after="140" w:before="320"/>
      </w:pPr>
      <w:r>
        <w:rPr>
          <w:rFonts w:ascii="Arial" w:cs="Arial" w:eastAsia="Arial" w:hAnsi="Arial"/>
        </w:rPr>
        <w:t xml:space="preserve">11. Data retention and disposal</w:t>
      </w:r>
    </w:p>
    <w:p>
      <w:pPr>
        <w:pStyle w:val="Heading2"/>
        <w:spacing w:after="100" w:before="240"/>
      </w:pPr>
      <w:r>
        <w:rPr>
          <w:rFonts w:ascii="Arial" w:cs="Arial" w:eastAsia="Arial" w:hAnsi="Arial"/>
        </w:rPr>
        <w:t xml:space="preserve">11.1 General</w:t>
      </w:r>
    </w:p>
    <w:p>
      <w:pPr>
        <w:spacing w:after="120" w:before="0"/>
      </w:pPr>
      <w:r>
        <w:rPr>
          <w:rFonts w:ascii="Arial" w:cs="Arial" w:eastAsia="Arial" w:hAnsi="Arial"/>
          <w:sz w:val="21"/>
          <w:szCs w:val="21"/>
        </w:rPr>
        <w:t xml:space="preserve">Information is retained only as long as required for business, legal or regulatory purposes as defined in the Retention Schedule.</w:t>
      </w:r>
    </w:p>
    <w:p>
      <w:pPr>
        <w:pStyle w:val="Heading2"/>
        <w:spacing w:after="100" w:before="240"/>
      </w:pPr>
      <w:r>
        <w:rPr>
          <w:rFonts w:ascii="Arial" w:cs="Arial" w:eastAsia="Arial" w:hAnsi="Arial"/>
        </w:rPr>
        <w:t xml:space="preserve">11.2 Disposal</w:t>
      </w:r>
    </w:p>
    <w:p>
      <w:pPr>
        <w:spacing w:after="120" w:before="0"/>
      </w:pPr>
      <w:r>
        <w:rPr>
          <w:rFonts w:ascii="Arial" w:cs="Arial" w:eastAsia="Arial" w:hAnsi="Arial"/>
          <w:sz w:val="21"/>
          <w:szCs w:val="21"/>
        </w:rPr>
        <w:t xml:space="preserve">Electronic media is sanitised in accordance with NIST SP 800-88 before reuse or disposal. Cloud storage is deleted using provider deletion APIs; cryptographic erasure is applied to encrypted volumes.</w:t>
      </w:r>
    </w:p>
    <w:p>
      <w:pPr>
        <w:pStyle w:val="Heading2"/>
        <w:spacing w:after="100" w:before="240"/>
      </w:pPr>
      <w:r>
        <w:rPr>
          <w:rFonts w:ascii="Arial" w:cs="Arial" w:eastAsia="Arial" w:hAnsi="Arial"/>
        </w:rPr>
        <w:t xml:space="preserve">11.3 Customer Data</w:t>
      </w:r>
    </w:p>
    <w:p>
      <w:pPr>
        <w:spacing w:after="120" w:before="0"/>
      </w:pPr>
      <w:r>
        <w:rPr>
          <w:rFonts w:ascii="Arial" w:cs="Arial" w:eastAsia="Arial" w:hAnsi="Arial"/>
          <w:sz w:val="21"/>
          <w:szCs w:val="21"/>
        </w:rPr>
        <w:t xml:space="preserve">On termination of a customer contract, Customer Data is exported to the customer on request. Customer records, including identity documents and screening results, are thereafter retained by Veltrix for seven years for regulatory and dispute purposes, after which they are deleted. Backups containing Customer Data are retained for 12 months from the date of creation.</w:t>
      </w:r>
    </w:p>
    <w:p>
      <w:pPr>
        <w:pStyle w:val="Heading1"/>
        <w:spacing w:after="140" w:before="320"/>
      </w:pPr>
      <w:r>
        <w:rPr>
          <w:rFonts w:ascii="Arial" w:cs="Arial" w:eastAsia="Arial" w:hAnsi="Arial"/>
        </w:rPr>
        <w:t xml:space="preserve">12. Password and authentication standard</w:t>
      </w:r>
    </w:p>
    <w:p>
      <w:pPr>
        <w:pStyle w:val="ListParagraph"/>
        <w:numPr>
          <w:ilvl w:val="0"/>
          <w:numId w:val="2"/>
        </w:numPr>
        <w:spacing w:after="60"/>
      </w:pPr>
      <w:r>
        <w:rPr>
          <w:rFonts w:ascii="Arial" w:cs="Arial" w:eastAsia="Arial" w:hAnsi="Arial"/>
          <w:sz w:val="21"/>
          <w:szCs w:val="21"/>
        </w:rPr>
        <w:t xml:space="preserve">Minimum password length: 8 characters, including at least one number and one special character.</w:t>
      </w:r>
    </w:p>
    <w:p>
      <w:pPr>
        <w:pStyle w:val="ListParagraph"/>
        <w:numPr>
          <w:ilvl w:val="0"/>
          <w:numId w:val="2"/>
        </w:numPr>
        <w:spacing w:after="60"/>
      </w:pPr>
      <w:r>
        <w:rPr>
          <w:rFonts w:ascii="Arial" w:cs="Arial" w:eastAsia="Arial" w:hAnsi="Arial"/>
          <w:sz w:val="21"/>
          <w:szCs w:val="21"/>
        </w:rPr>
        <w:t xml:space="preserve">Passwords expire every 90 days; the previous 4 passwords may not be reused.</w:t>
      </w:r>
    </w:p>
    <w:p>
      <w:pPr>
        <w:pStyle w:val="ListParagraph"/>
        <w:numPr>
          <w:ilvl w:val="0"/>
          <w:numId w:val="2"/>
        </w:numPr>
        <w:spacing w:after="60"/>
      </w:pPr>
      <w:r>
        <w:rPr>
          <w:rFonts w:ascii="Arial" w:cs="Arial" w:eastAsia="Arial" w:hAnsi="Arial"/>
          <w:sz w:val="21"/>
          <w:szCs w:val="21"/>
        </w:rPr>
        <w:t xml:space="preserve">Accounts are locked for 15 minutes after 10 consecutive failed attempts.</w:t>
      </w:r>
    </w:p>
    <w:p>
      <w:pPr>
        <w:pStyle w:val="ListParagraph"/>
        <w:numPr>
          <w:ilvl w:val="0"/>
          <w:numId w:val="2"/>
        </w:numPr>
        <w:spacing w:after="60"/>
      </w:pPr>
      <w:r>
        <w:rPr>
          <w:rFonts w:ascii="Arial" w:cs="Arial" w:eastAsia="Arial" w:hAnsi="Arial"/>
          <w:sz w:val="21"/>
          <w:szCs w:val="21"/>
        </w:rPr>
        <w:t xml:space="preserve">Multi-factor authentication requirements are defined in the Access Control Policy.</w:t>
      </w:r>
    </w:p>
    <w:p>
      <w:pPr>
        <w:pStyle w:val="Heading1"/>
        <w:spacing w:after="140" w:before="320"/>
      </w:pPr>
      <w:r>
        <w:rPr>
          <w:rFonts w:ascii="Arial" w:cs="Arial" w:eastAsia="Arial" w:hAnsi="Arial"/>
        </w:rPr>
        <w:t xml:space="preserve">13. Supplier security</w:t>
      </w:r>
    </w:p>
    <w:p>
      <w:pPr>
        <w:spacing w:after="120" w:before="0"/>
      </w:pPr>
      <w:r>
        <w:rPr>
          <w:rFonts w:ascii="Arial" w:cs="Arial" w:eastAsia="Arial" w:hAnsi="Arial"/>
          <w:sz w:val="21"/>
          <w:szCs w:val="21"/>
        </w:rPr>
        <w:t xml:space="preserve">Suppliers that process Customer Data are assessed before engagement and at least every two years thereafter. Assessment considers certifications held, security questionnaire responses and contractual commitments. A register of subprocessors is maintained by the Head of Security &amp; Compliance.</w:t>
      </w:r>
    </w:p>
    <w:p>
      <w:pPr>
        <w:pStyle w:val="Heading1"/>
        <w:spacing w:after="140" w:before="320"/>
      </w:pPr>
      <w:r>
        <w:rPr>
          <w:rFonts w:ascii="Arial" w:cs="Arial" w:eastAsia="Arial" w:hAnsi="Arial"/>
        </w:rPr>
        <w:t xml:space="preserve">14. Compliance and exceptions</w:t>
      </w:r>
    </w:p>
    <w:p>
      <w:pPr>
        <w:spacing w:after="120" w:before="0"/>
      </w:pPr>
      <w:r>
        <w:rPr>
          <w:rFonts w:ascii="Arial" w:cs="Arial" w:eastAsia="Arial" w:hAnsi="Arial"/>
          <w:sz w:val="21"/>
          <w:szCs w:val="21"/>
        </w:rPr>
        <w:t xml:space="preserve">Compliance with this policy is monitored through internal audit, the annual SOC 2 examination and ISO 27001 surveillance audits. Exceptions must be approved in writing by the Head of Security &amp; Compliance, recorded in the risk register, and reviewed at least annually. Violations may result in disciplinary action up to and including termination.</w:t>
      </w:r>
    </w:p>
    <w:p>
      <w:r>
        <w:br w:type="page"/>
      </w:r>
    </w:p>
    <w:p>
      <w:pPr>
        <w:pStyle w:val="Heading1"/>
        <w:spacing w:after="140" w:before="320"/>
      </w:pPr>
      <w:r>
        <w:rPr>
          <w:rFonts w:ascii="Arial" w:cs="Arial" w:eastAsia="Arial" w:hAnsi="Arial"/>
        </w:rPr>
        <w:t xml:space="preserve">Appendix A — Revision history</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100"/>
        <w:gridCol w:w="1700"/>
        <w:gridCol w:w="2200"/>
        <w:gridCol w:w="4360"/>
      </w:tblGrid>
      <w:tr>
        <w:trPr>
          <w:tblHeader/>
        </w:trPr>
        <w:tc>
          <w:tcPr>
            <w:tcW w:type="dxa" w:w="11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Version</w:t>
            </w:r>
          </w:p>
        </w:tc>
        <w:tc>
          <w:tcPr>
            <w:tcW w:type="dxa" w:w="17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Date</w:t>
            </w:r>
          </w:p>
        </w:tc>
        <w:tc>
          <w:tcPr>
            <w:tcW w:type="dxa" w:w="22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Author</w:t>
            </w:r>
          </w:p>
        </w:tc>
        <w:tc>
          <w:tcPr>
            <w:tcW w:type="dxa" w:w="43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Summary of changes</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3.0</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10 March 2022</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 Lim</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Restructured to ISO/IEC 27001 control themes</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3.1</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20 February 2023</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 Lim</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Added supplier security section; updated cryptography standard</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3.2</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14 February 2024</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 Lim</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Annual review; added acceptable-use statement on generative AI tools</w:t>
            </w:r>
          </w:p>
        </w:tc>
      </w:tr>
    </w:tbl>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Veltrix Onboard Pte. Ltd. — Confidential — Provided to Northgate Bank (Asia) Limited under NDA</w:t>
    </w:r>
    <w:r>
      <w:rPr>
        <w:rFonts w:ascii="Arial" w:cs="Arial" w:eastAsia="Arial" w:hAnsi="Arial"/>
        <w:color w:val="808080"/>
        <w:sz w:val="16"/>
        <w:szCs w:val="16"/>
      </w:rPr>
      <w:t xml:space="preserve">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Information Security Policy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30"/>
      <w:szCs w:val="30"/>
    </w:rPr>
  </w:style>
  <w:style w:type="paragraph" w:styleId="Heading2">
    <w:name w:val="Heading 2"/>
    <w:basedOn w:val="Normal"/>
    <w:next w:val="Normal"/>
    <w:qFormat/>
    <w:pPr>
      <w:outlineLvl w:val="1"/>
    </w:pPr>
    <w:rPr>
      <w:rFonts w:ascii="Arial" w:cs="Arial" w:eastAsia="Arial" w:hAnsi="Arial"/>
      <w:b/>
      <w:bCs/>
      <w:color w:val="1F3A5F"/>
      <w:sz w:val="25"/>
      <w:szCs w:val="25"/>
    </w:rPr>
  </w:style>
  <w:style w:type="paragraph" w:styleId="Heading3">
    <w:name w:val="Heading 3"/>
    <w:basedOn w:val="Normal"/>
    <w:next w:val="Normal"/>
    <w:qFormat/>
    <w:pPr>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creator>Veltrix Onboard Pte. Ltd.</dc:creator>
  <cp:lastModifiedBy>Un-named</cp:lastModifiedBy>
  <cp:revision>1</cp:revision>
  <dcterms:created xsi:type="dcterms:W3CDTF">2026-09-02T00:26:23.073Z</dcterms:created>
  <dcterms:modified xsi:type="dcterms:W3CDTF">2026-09-02T00:26:23.073Z</dcterms:modified>
</cp:coreProperties>
</file>

<file path=docProps/custom.xml><?xml version="1.0" encoding="utf-8"?>
<Properties xmlns="http://schemas.openxmlformats.org/officeDocument/2006/custom-properties" xmlns:vt="http://schemas.openxmlformats.org/officeDocument/2006/docPropsVTypes"/>
</file>