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Arial" w:cs="Arial" w:eastAsia="Arial" w:hAnsi="Arial"/>
          <w:b/>
          <w:bCs/>
          <w:color w:val="1F3A5F"/>
          <w:sz w:val="40"/>
          <w:szCs w:val="40"/>
        </w:rPr>
        <w:t xml:space="preserve">Access Control Policy</w:t>
      </w:r>
    </w:p>
    <w:p>
      <w:pPr>
        <w:pBdr>
          <w:bottom w:val="single" w:color="1F3A5F" w:sz="8" w:space="6"/>
        </w:pBdr>
        <w:spacing w:after="400"/>
      </w:pPr>
      <w:r>
        <w:rPr>
          <w:rFonts w:ascii="Arial" w:cs="Arial" w:eastAsia="Arial" w:hAnsi="Arial"/>
          <w:color w:val="595959"/>
          <w:sz w:val="24"/>
          <w:szCs w:val="24"/>
        </w:rPr>
        <w:t xml:space="preserve">Veltrix Onboard Pte. Ltd. — VLX-POL-004 v2.0</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2800"/>
        <w:gridCol w:w="6560"/>
      </w:tblGrid>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Document ID</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VLX-POL-004</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Version</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2.0</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Document owner</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Head of Security &amp; Compliance (Marcus Lim)</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Approved by</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Chief Technology Officer (Priya Raman)</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Classification</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Internal — shareable with customers under NDA</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Effective date</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1 June 2026</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Last reviewed</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1 June 2026</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Next review due</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1 June 2027</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Review cycle</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Annual</w:t>
            </w:r>
          </w:p>
        </w:tc>
      </w:tr>
    </w:tbl>
    <w:p>
      <w:pPr>
        <w:spacing w:after="120" w:before="0"/>
      </w:pPr>
      <w:r>
        <w:rPr>
          <w:rFonts w:ascii="Arial" w:cs="Arial" w:eastAsia="Arial" w:hAnsi="Arial"/>
          <w:sz w:val="21"/>
          <w:szCs w:val="21"/>
        </w:rPr>
        <w:t xml:space="preserve"/>
      </w:r>
    </w:p>
    <w:p>
      <w:pPr>
        <w:pStyle w:val="Heading1"/>
        <w:spacing w:after="140" w:before="320"/>
      </w:pPr>
      <w:r>
        <w:rPr>
          <w:rFonts w:ascii="Arial" w:cs="Arial" w:eastAsia="Arial" w:hAnsi="Arial"/>
        </w:rPr>
        <w:t xml:space="preserve">1. Purpose</w:t>
      </w:r>
    </w:p>
    <w:p>
      <w:pPr>
        <w:spacing w:after="120" w:before="0"/>
      </w:pPr>
      <w:r>
        <w:rPr>
          <w:rFonts w:ascii="Arial" w:cs="Arial" w:eastAsia="Arial" w:hAnsi="Arial"/>
          <w:sz w:val="21"/>
          <w:szCs w:val="21"/>
        </w:rPr>
        <w:t xml:space="preserve">This policy defines how access to Veltrix information systems, infrastructure and Customer Data is requested, approved, provisioned, authenticated, reviewed and removed. It supports the Information Security Policy (VLX-POL-001).</w:t>
      </w:r>
    </w:p>
    <w:p>
      <w:pPr>
        <w:pStyle w:val="Heading1"/>
        <w:spacing w:after="140" w:before="320"/>
      </w:pPr>
      <w:r>
        <w:rPr>
          <w:rFonts w:ascii="Arial" w:cs="Arial" w:eastAsia="Arial" w:hAnsi="Arial"/>
        </w:rPr>
        <w:t xml:space="preserve">2. Scope</w:t>
      </w:r>
    </w:p>
    <w:p>
      <w:pPr>
        <w:spacing w:after="120" w:before="0"/>
      </w:pPr>
      <w:r>
        <w:rPr>
          <w:rFonts w:ascii="Arial" w:cs="Arial" w:eastAsia="Arial" w:hAnsi="Arial"/>
          <w:sz w:val="21"/>
          <w:szCs w:val="21"/>
        </w:rPr>
        <w:t xml:space="preserve">This policy applies to all Veltrix employees, contractors, and personnel of outsourced service providers who are granted access to Veltrix systems, including the production AWS environment, the Veltrix Onboard application and support console, corporate SaaS applications, and source code repositories.</w:t>
      </w:r>
    </w:p>
    <w:p>
      <w:pPr>
        <w:pStyle w:val="Heading1"/>
        <w:spacing w:after="140" w:before="320"/>
      </w:pPr>
      <w:r>
        <w:rPr>
          <w:rFonts w:ascii="Arial" w:cs="Arial" w:eastAsia="Arial" w:hAnsi="Arial"/>
        </w:rPr>
        <w:t xml:space="preserve">3. Principles</w:t>
      </w:r>
    </w:p>
    <w:p>
      <w:pPr>
        <w:pStyle w:val="ListParagraph"/>
        <w:numPr>
          <w:ilvl w:val="0"/>
          <w:numId w:val="2"/>
        </w:numPr>
        <w:spacing w:after="60"/>
      </w:pPr>
      <w:r>
        <w:rPr>
          <w:rFonts w:ascii="Arial" w:cs="Arial" w:eastAsia="Arial" w:hAnsi="Arial"/>
          <w:sz w:val="21"/>
          <w:szCs w:val="21"/>
        </w:rPr>
        <w:t xml:space="preserve">Least privilege: access is limited to what is necessary for the role.</w:t>
      </w:r>
    </w:p>
    <w:p>
      <w:pPr>
        <w:pStyle w:val="ListParagraph"/>
        <w:numPr>
          <w:ilvl w:val="0"/>
          <w:numId w:val="2"/>
        </w:numPr>
        <w:spacing w:after="60"/>
      </w:pPr>
      <w:r>
        <w:rPr>
          <w:rFonts w:ascii="Arial" w:cs="Arial" w:eastAsia="Arial" w:hAnsi="Arial"/>
          <w:sz w:val="21"/>
          <w:szCs w:val="21"/>
        </w:rPr>
        <w:t xml:space="preserve">Need to know: access to Customer Data is granted only where required to deliver or support the service.</w:t>
      </w:r>
    </w:p>
    <w:p>
      <w:pPr>
        <w:pStyle w:val="ListParagraph"/>
        <w:numPr>
          <w:ilvl w:val="0"/>
          <w:numId w:val="2"/>
        </w:numPr>
        <w:spacing w:after="60"/>
      </w:pPr>
      <w:r>
        <w:rPr>
          <w:rFonts w:ascii="Arial" w:cs="Arial" w:eastAsia="Arial" w:hAnsi="Arial"/>
          <w:sz w:val="21"/>
          <w:szCs w:val="21"/>
        </w:rPr>
        <w:t xml:space="preserve">Segregation of duties: no individual may both approve and provision their own access; developers may not deploy their own changes to production without a second approver.</w:t>
      </w:r>
    </w:p>
    <w:p>
      <w:pPr>
        <w:pStyle w:val="ListParagraph"/>
        <w:numPr>
          <w:ilvl w:val="0"/>
          <w:numId w:val="2"/>
        </w:numPr>
        <w:spacing w:after="60"/>
      </w:pPr>
      <w:r>
        <w:rPr>
          <w:rFonts w:ascii="Arial" w:cs="Arial" w:eastAsia="Arial" w:hAnsi="Arial"/>
          <w:sz w:val="21"/>
          <w:szCs w:val="21"/>
        </w:rPr>
        <w:t xml:space="preserve">Individual accountability: every action on production systems must be attributable to an individual, except as permitted in section 6.4.</w:t>
      </w:r>
    </w:p>
    <w:p>
      <w:pPr>
        <w:pStyle w:val="Heading1"/>
        <w:spacing w:after="140" w:before="320"/>
      </w:pPr>
      <w:r>
        <w:rPr>
          <w:rFonts w:ascii="Arial" w:cs="Arial" w:eastAsia="Arial" w:hAnsi="Arial"/>
        </w:rPr>
        <w:t xml:space="preserve">4. User lifecycle</w:t>
      </w:r>
    </w:p>
    <w:p>
      <w:pPr>
        <w:pStyle w:val="Heading2"/>
        <w:spacing w:after="100" w:before="240"/>
      </w:pPr>
      <w:r>
        <w:rPr>
          <w:rFonts w:ascii="Arial" w:cs="Arial" w:eastAsia="Arial" w:hAnsi="Arial"/>
        </w:rPr>
        <w:t xml:space="preserve">4.1 Joiners</w:t>
      </w:r>
    </w:p>
    <w:p>
      <w:pPr>
        <w:spacing w:after="120" w:before="0"/>
      </w:pPr>
      <w:r>
        <w:rPr>
          <w:rFonts w:ascii="Arial" w:cs="Arial" w:eastAsia="Arial" w:hAnsi="Arial"/>
          <w:sz w:val="21"/>
          <w:szCs w:val="21"/>
        </w:rPr>
        <w:t xml:space="preserve">Access is requested by the line manager through the IT service desk before the start date, using role-based access profiles. Accounts are created in the corporate identity provider (Okta) and provisioned to downstream systems via SSO where supported.</w:t>
      </w:r>
    </w:p>
    <w:p>
      <w:pPr>
        <w:pStyle w:val="Heading2"/>
        <w:spacing w:after="100" w:before="240"/>
      </w:pPr>
      <w:r>
        <w:rPr>
          <w:rFonts w:ascii="Arial" w:cs="Arial" w:eastAsia="Arial" w:hAnsi="Arial"/>
        </w:rPr>
        <w:t xml:space="preserve">4.2 Movers</w:t>
      </w:r>
    </w:p>
    <w:p>
      <w:pPr>
        <w:spacing w:after="120" w:before="0"/>
      </w:pPr>
      <w:r>
        <w:rPr>
          <w:rFonts w:ascii="Arial" w:cs="Arial" w:eastAsia="Arial" w:hAnsi="Arial"/>
          <w:sz w:val="21"/>
          <w:szCs w:val="21"/>
        </w:rPr>
        <w:t xml:space="preserve">On change of role, the new line manager submits an access change request; access associated with the previous role is removed within 5 business days.</w:t>
      </w:r>
    </w:p>
    <w:p>
      <w:pPr>
        <w:pStyle w:val="Heading2"/>
        <w:spacing w:after="100" w:before="240"/>
      </w:pPr>
      <w:r>
        <w:rPr>
          <w:rFonts w:ascii="Arial" w:cs="Arial" w:eastAsia="Arial" w:hAnsi="Arial"/>
        </w:rPr>
        <w:t xml:space="preserve">4.3 Leavers</w:t>
      </w:r>
    </w:p>
    <w:p>
      <w:pPr>
        <w:spacing w:after="120" w:before="0"/>
      </w:pPr>
      <w:r>
        <w:rPr>
          <w:rFonts w:ascii="Arial" w:cs="Arial" w:eastAsia="Arial" w:hAnsi="Arial"/>
          <w:sz w:val="21"/>
          <w:szCs w:val="21"/>
        </w:rPr>
        <w:t xml:space="preserve">People Operations notifies IT of leavers at least 1 business day before the leaving date. The identity provider account is disabled on the last working day, which revokes SSO-integrated access. Access to systems not integrated with SSO (see Appendix A) is removed by the system owner within 3 business days.</w:t>
      </w:r>
    </w:p>
    <w:p>
      <w:pPr>
        <w:pStyle w:val="Heading1"/>
        <w:spacing w:after="140" w:before="320"/>
      </w:pPr>
      <w:r>
        <w:rPr>
          <w:rFonts w:ascii="Arial" w:cs="Arial" w:eastAsia="Arial" w:hAnsi="Arial"/>
        </w:rPr>
        <w:t xml:space="preserve">5. Access approval</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4680"/>
        <w:gridCol w:w="4680"/>
      </w:tblGrid>
      <w:tr>
        <w:trPr>
          <w:tblHeader/>
        </w:trPr>
        <w:tc>
          <w:tcPr>
            <w:tcW w:type="dxa" w:w="468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Access type</w:t>
            </w:r>
          </w:p>
        </w:tc>
        <w:tc>
          <w:tcPr>
            <w:tcW w:type="dxa" w:w="468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Approver</w:t>
            </w:r>
          </w:p>
        </w:tc>
      </w:tr>
      <w:tr>
        <w:trPr>
          <w:tblHeader w:val="false"/>
        </w:trPr>
        <w:tc>
          <w:tcPr>
            <w:tcW w:type="dxa" w:w="468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Corporate applications</w:t>
            </w:r>
          </w:p>
        </w:tc>
        <w:tc>
          <w:tcPr>
            <w:tcW w:type="dxa" w:w="468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Line manager</w:t>
            </w:r>
          </w:p>
        </w:tc>
      </w:tr>
      <w:tr>
        <w:trPr>
          <w:tblHeader w:val="false"/>
        </w:trPr>
        <w:tc>
          <w:tcPr>
            <w:tcW w:type="dxa" w:w="468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Source code repositories</w:t>
            </w:r>
          </w:p>
        </w:tc>
        <w:tc>
          <w:tcPr>
            <w:tcW w:type="dxa" w:w="468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Engineering manager</w:t>
            </w:r>
          </w:p>
        </w:tc>
      </w:tr>
      <w:tr>
        <w:trPr>
          <w:tblHeader w:val="false"/>
        </w:trPr>
        <w:tc>
          <w:tcPr>
            <w:tcW w:type="dxa" w:w="468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Production support console (customer tenant access)</w:t>
            </w:r>
          </w:p>
        </w:tc>
        <w:tc>
          <w:tcPr>
            <w:tcW w:type="dxa" w:w="468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Head of Customer Success</w:t>
            </w:r>
          </w:p>
        </w:tc>
      </w:tr>
      <w:tr>
        <w:trPr>
          <w:tblHeader w:val="false"/>
        </w:trPr>
        <w:tc>
          <w:tcPr>
            <w:tcW w:type="dxa" w:w="468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Production infrastructure (AWS, databases)</w:t>
            </w:r>
          </w:p>
        </w:tc>
        <w:tc>
          <w:tcPr>
            <w:tcW w:type="dxa" w:w="468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Chief Technology Officer</w:t>
            </w:r>
          </w:p>
        </w:tc>
      </w:tr>
      <w:tr>
        <w:trPr>
          <w:tblHeader w:val="false"/>
        </w:trPr>
        <w:tc>
          <w:tcPr>
            <w:tcW w:type="dxa" w:w="468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Security tooling and key management</w:t>
            </w:r>
          </w:p>
        </w:tc>
        <w:tc>
          <w:tcPr>
            <w:tcW w:type="dxa" w:w="468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Head of Security &amp; Compliance</w:t>
            </w:r>
          </w:p>
        </w:tc>
      </w:tr>
    </w:tbl>
    <w:p>
      <w:pPr>
        <w:pStyle w:val="Heading1"/>
        <w:spacing w:after="140" w:before="320"/>
      </w:pPr>
      <w:r>
        <w:rPr>
          <w:rFonts w:ascii="Arial" w:cs="Arial" w:eastAsia="Arial" w:hAnsi="Arial"/>
        </w:rPr>
        <w:t xml:space="preserve">6. Authentication</w:t>
      </w:r>
    </w:p>
    <w:p>
      <w:pPr>
        <w:pStyle w:val="Heading2"/>
        <w:spacing w:after="100" w:before="240"/>
      </w:pPr>
      <w:r>
        <w:rPr>
          <w:rFonts w:ascii="Arial" w:cs="Arial" w:eastAsia="Arial" w:hAnsi="Arial"/>
        </w:rPr>
        <w:t xml:space="preserve">6.1 Passwords</w:t>
      </w:r>
    </w:p>
    <w:p>
      <w:pPr>
        <w:spacing w:after="120" w:before="0"/>
      </w:pPr>
      <w:r>
        <w:rPr>
          <w:rFonts w:ascii="Arial" w:cs="Arial" w:eastAsia="Arial" w:hAnsi="Arial"/>
          <w:sz w:val="21"/>
          <w:szCs w:val="21"/>
        </w:rPr>
        <w:t xml:space="preserve">Password requirements are defined in section 12 of the Information Security Policy.</w:t>
      </w:r>
    </w:p>
    <w:p>
      <w:pPr>
        <w:pStyle w:val="Heading2"/>
        <w:spacing w:after="100" w:before="240"/>
      </w:pPr>
      <w:r>
        <w:rPr>
          <w:rFonts w:ascii="Arial" w:cs="Arial" w:eastAsia="Arial" w:hAnsi="Arial"/>
        </w:rPr>
        <w:t xml:space="preserve">6.2 Customer user authentication</w:t>
      </w:r>
    </w:p>
    <w:p>
      <w:pPr>
        <w:spacing w:after="120" w:before="0"/>
      </w:pPr>
      <w:r>
        <w:rPr>
          <w:rFonts w:ascii="Arial" w:cs="Arial" w:eastAsia="Arial" w:hAnsi="Arial"/>
          <w:sz w:val="21"/>
          <w:szCs w:val="21"/>
        </w:rPr>
        <w:t xml:space="preserve">Customer users authenticate to the Veltrix Onboard application through the customer's own identity provider using SAML 2.0 or OpenID Connect. Where a customer has not configured SSO, local accounts with password and email-based one-time codes are provided. Customer administrators may create local break-glass accounts.</w:t>
      </w:r>
    </w:p>
    <w:p>
      <w:pPr>
        <w:pStyle w:val="Heading2"/>
        <w:spacing w:after="100" w:before="240"/>
      </w:pPr>
      <w:r>
        <w:rPr>
          <w:rFonts w:ascii="Arial" w:cs="Arial" w:eastAsia="Arial" w:hAnsi="Arial"/>
        </w:rPr>
        <w:t xml:space="preserve">6.3 Multi-factor authentication for Veltrix personnel</w:t>
      </w:r>
    </w:p>
    <w:p>
      <w:pPr>
        <w:spacing w:after="120" w:before="0"/>
      </w:pPr>
      <w:r>
        <w:rPr>
          <w:rFonts w:ascii="Arial" w:cs="Arial" w:eastAsia="Arial" w:hAnsi="Arial"/>
          <w:sz w:val="21"/>
          <w:szCs w:val="21"/>
        </w:rPr>
        <w:t xml:space="preserve">Multi-factor authentication is recommended for administrative access to production systems and is required for remote VPN access to the corporate network. Where MFA is enabled, approved factors are the Okta Verify push application and FIDO2 security keys. SMS one-time codes are not permitted.</w:t>
      </w:r>
    </w:p>
    <w:p>
      <w:pPr>
        <w:pStyle w:val="Heading2"/>
        <w:spacing w:after="100" w:before="240"/>
      </w:pPr>
      <w:r>
        <w:rPr>
          <w:rFonts w:ascii="Arial" w:cs="Arial" w:eastAsia="Arial" w:hAnsi="Arial"/>
        </w:rPr>
        <w:t xml:space="preserve">6.4 Shared and generic accounts</w:t>
      </w:r>
    </w:p>
    <w:p>
      <w:pPr>
        <w:spacing w:after="120" w:before="0"/>
      </w:pPr>
      <w:r>
        <w:rPr>
          <w:rFonts w:ascii="Arial" w:cs="Arial" w:eastAsia="Arial" w:hAnsi="Arial"/>
          <w:sz w:val="21"/>
          <w:szCs w:val="21"/>
        </w:rPr>
        <w:t xml:space="preserve">Shared or generic accounts (for example a team on-call account or a shared monitoring login) may be used where individual accounts are impractical or for operational convenience, subject to approval by the relevant team lead. The password for a shared account must be changed when a member of the team leaves. Use of shared accounts is recorded in the account register.</w:t>
      </w:r>
    </w:p>
    <w:p>
      <w:pPr>
        <w:pStyle w:val="Heading2"/>
        <w:spacing w:after="100" w:before="240"/>
      </w:pPr>
      <w:r>
        <w:rPr>
          <w:rFonts w:ascii="Arial" w:cs="Arial" w:eastAsia="Arial" w:hAnsi="Arial"/>
        </w:rPr>
        <w:t xml:space="preserve">6.5 Service accounts and API keys</w:t>
      </w:r>
    </w:p>
    <w:p>
      <w:pPr>
        <w:spacing w:after="120" w:before="0"/>
      </w:pPr>
      <w:r>
        <w:rPr>
          <w:rFonts w:ascii="Arial" w:cs="Arial" w:eastAsia="Arial" w:hAnsi="Arial"/>
          <w:sz w:val="21"/>
          <w:szCs w:val="21"/>
        </w:rPr>
        <w:t xml:space="preserve">Service accounts are owned by a named individual, have no interactive login, and are reviewed as part of the privileged access review. Tenant API keys issued to customers are generated by the customer administrator and may be rotated by the customer at any time.</w:t>
      </w:r>
    </w:p>
    <w:p>
      <w:pPr>
        <w:pStyle w:val="Heading1"/>
        <w:spacing w:after="140" w:before="320"/>
      </w:pPr>
      <w:r>
        <w:rPr>
          <w:rFonts w:ascii="Arial" w:cs="Arial" w:eastAsia="Arial" w:hAnsi="Arial"/>
        </w:rPr>
        <w:t xml:space="preserve">7. Privileged access</w:t>
      </w:r>
    </w:p>
    <w:p>
      <w:pPr>
        <w:pStyle w:val="Heading2"/>
        <w:spacing w:after="100" w:before="240"/>
      </w:pPr>
      <w:r>
        <w:rPr>
          <w:rFonts w:ascii="Arial" w:cs="Arial" w:eastAsia="Arial" w:hAnsi="Arial"/>
        </w:rPr>
        <w:t xml:space="preserve">7.1 Administrative access to production</w:t>
      </w:r>
    </w:p>
    <w:p>
      <w:pPr>
        <w:spacing w:after="120" w:before="0"/>
      </w:pPr>
      <w:r>
        <w:rPr>
          <w:rFonts w:ascii="Arial" w:cs="Arial" w:eastAsia="Arial" w:hAnsi="Arial"/>
          <w:sz w:val="21"/>
          <w:szCs w:val="21"/>
        </w:rPr>
        <w:t xml:space="preserve">Administrative access to the production AWS environment and databases is granted to Platform Operations engineers in Singapore and to designated L3 support engineers in Pune. Access is via a bastion host with session logging enabled. A dedicated privileged access management tool is planned for deployment in Q4 2026.</w:t>
      </w:r>
    </w:p>
    <w:p>
      <w:pPr>
        <w:pStyle w:val="Heading2"/>
        <w:spacing w:after="100" w:before="240"/>
      </w:pPr>
      <w:r>
        <w:rPr>
          <w:rFonts w:ascii="Arial" w:cs="Arial" w:eastAsia="Arial" w:hAnsi="Arial"/>
        </w:rPr>
        <w:t xml:space="preserve">7.2 Break-glass access</w:t>
      </w:r>
    </w:p>
    <w:p>
      <w:pPr>
        <w:spacing w:after="120" w:before="0"/>
      </w:pPr>
      <w:r>
        <w:rPr>
          <w:rFonts w:ascii="Arial" w:cs="Arial" w:eastAsia="Arial" w:hAnsi="Arial"/>
          <w:sz w:val="21"/>
          <w:szCs w:val="21"/>
        </w:rPr>
        <w:t xml:space="preserve">L3 support engineers providing 24x7 production support may invoke break-glass access to production databases to resolve a P1 incident. Break-glass credentials are stored in the password vault; each use generates an alert to the Security team and must be justified against an incident ticket within 24 hours.</w:t>
      </w:r>
    </w:p>
    <w:p>
      <w:pPr>
        <w:pStyle w:val="Heading1"/>
        <w:spacing w:after="140" w:before="320"/>
      </w:pPr>
      <w:r>
        <w:rPr>
          <w:rFonts w:ascii="Arial" w:cs="Arial" w:eastAsia="Arial" w:hAnsi="Arial"/>
        </w:rPr>
        <w:t xml:space="preserve">8. Access reviews</w:t>
      </w:r>
    </w:p>
    <w:p>
      <w:pPr>
        <w:pStyle w:val="Heading2"/>
        <w:spacing w:after="100" w:before="240"/>
      </w:pPr>
      <w:r>
        <w:rPr>
          <w:rFonts w:ascii="Arial" w:cs="Arial" w:eastAsia="Arial" w:hAnsi="Arial"/>
        </w:rPr>
        <w:t xml:space="preserve">8.1 Standard user access</w:t>
      </w:r>
    </w:p>
    <w:p>
      <w:pPr>
        <w:spacing w:after="120" w:before="0"/>
      </w:pPr>
      <w:r>
        <w:rPr>
          <w:rFonts w:ascii="Arial" w:cs="Arial" w:eastAsia="Arial" w:hAnsi="Arial"/>
          <w:sz w:val="21"/>
          <w:szCs w:val="21"/>
        </w:rPr>
        <w:t xml:space="preserve">Access of all users to corporate and production applications is recertified by line managers semi-annually. Access not confirmed within 10 business days is removed.</w:t>
      </w:r>
    </w:p>
    <w:p>
      <w:pPr>
        <w:pStyle w:val="Heading2"/>
        <w:spacing w:after="100" w:before="240"/>
      </w:pPr>
      <w:r>
        <w:rPr>
          <w:rFonts w:ascii="Arial" w:cs="Arial" w:eastAsia="Arial" w:hAnsi="Arial"/>
        </w:rPr>
        <w:t xml:space="preserve">8.2 Privileged access</w:t>
      </w:r>
    </w:p>
    <w:p>
      <w:pPr>
        <w:spacing w:after="120" w:before="0"/>
      </w:pPr>
      <w:r>
        <w:rPr>
          <w:rFonts w:ascii="Arial" w:cs="Arial" w:eastAsia="Arial" w:hAnsi="Arial"/>
          <w:sz w:val="21"/>
          <w:szCs w:val="21"/>
        </w:rPr>
        <w:t xml:space="preserve">Privileged and administrative access, including production infrastructure access, break-glass credentials, shared accounts and service accounts, is recertified annually by the Chief Technology Officer.</w:t>
      </w:r>
    </w:p>
    <w:p>
      <w:pPr>
        <w:pStyle w:val="Heading1"/>
        <w:spacing w:after="140" w:before="320"/>
      </w:pPr>
      <w:r>
        <w:rPr>
          <w:rFonts w:ascii="Arial" w:cs="Arial" w:eastAsia="Arial" w:hAnsi="Arial"/>
        </w:rPr>
        <w:t xml:space="preserve">9. Remote access</w:t>
      </w:r>
    </w:p>
    <w:p>
      <w:pPr>
        <w:spacing w:after="120" w:before="0"/>
      </w:pPr>
      <w:r>
        <w:rPr>
          <w:rFonts w:ascii="Arial" w:cs="Arial" w:eastAsia="Arial" w:hAnsi="Arial"/>
          <w:sz w:val="21"/>
          <w:szCs w:val="21"/>
        </w:rPr>
        <w:t xml:space="preserve">Remote access to the corporate network is via the corporate VPN with MFA. Production systems are not directly reachable from the internet; administrative access requires the VPN and the bastion host.</w:t>
      </w:r>
    </w:p>
    <w:p>
      <w:pPr>
        <w:pStyle w:val="Heading1"/>
        <w:spacing w:after="140" w:before="320"/>
      </w:pPr>
      <w:r>
        <w:rPr>
          <w:rFonts w:ascii="Arial" w:cs="Arial" w:eastAsia="Arial" w:hAnsi="Arial"/>
        </w:rPr>
        <w:t xml:space="preserve">10. Veltrix staff access to customer tenants</w:t>
      </w:r>
    </w:p>
    <w:p>
      <w:pPr>
        <w:spacing w:after="120" w:before="0"/>
      </w:pPr>
      <w:r>
        <w:rPr>
          <w:rFonts w:ascii="Arial" w:cs="Arial" w:eastAsia="Arial" w:hAnsi="Arial"/>
          <w:sz w:val="21"/>
          <w:szCs w:val="21"/>
        </w:rPr>
        <w:t xml:space="preserve">Customer Success and support personnel access customer tenants through the support console, which provides read access to case records and attachments. Each access session must reference an open support ticket and is logged with the ticket number. Write access to customer data through the support console requires customer consent recorded in the ticket. Tier-1 support provided by Cerulean Support Services uses the same console with read-only permissions.</w:t>
      </w:r>
    </w:p>
    <w:p>
      <w:pPr>
        <w:pStyle w:val="Heading1"/>
        <w:spacing w:after="140" w:before="320"/>
      </w:pPr>
      <w:r>
        <w:rPr>
          <w:rFonts w:ascii="Arial" w:cs="Arial" w:eastAsia="Arial" w:hAnsi="Arial"/>
        </w:rPr>
        <w:t xml:space="preserve">11. Logging</w:t>
      </w:r>
    </w:p>
    <w:p>
      <w:pPr>
        <w:spacing w:after="120" w:before="0"/>
      </w:pPr>
      <w:r>
        <w:rPr>
          <w:rFonts w:ascii="Arial" w:cs="Arial" w:eastAsia="Arial" w:hAnsi="Arial"/>
          <w:sz w:val="21"/>
          <w:szCs w:val="21"/>
        </w:rPr>
        <w:t xml:space="preserve">Authentication events, privilege escalations, break-glass invocations and support console sessions are logged to the central logging platform in accordance with the Information Security Policy.</w:t>
      </w:r>
    </w:p>
    <w:p>
      <w:r>
        <w:br w:type="page"/>
      </w:r>
    </w:p>
    <w:p>
      <w:pPr>
        <w:pStyle w:val="Heading1"/>
        <w:spacing w:after="140" w:before="320"/>
      </w:pPr>
      <w:r>
        <w:rPr>
          <w:rFonts w:ascii="Arial" w:cs="Arial" w:eastAsia="Arial" w:hAnsi="Arial"/>
        </w:rPr>
        <w:t xml:space="preserve">Appendix A — Systems not integrated with SSO</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3600"/>
        <w:gridCol w:w="2600"/>
        <w:gridCol w:w="3160"/>
      </w:tblGrid>
      <w:tr>
        <w:trPr>
          <w:tblHeader/>
        </w:trPr>
        <w:tc>
          <w:tcPr>
            <w:tcW w:type="dxa" w:w="36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System</w:t>
            </w:r>
          </w:p>
        </w:tc>
        <w:tc>
          <w:tcPr>
            <w:tcW w:type="dxa" w:w="26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Owner</w:t>
            </w:r>
          </w:p>
        </w:tc>
        <w:tc>
          <w:tcPr>
            <w:tcW w:type="dxa" w:w="316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Deprovisioning method</w:t>
            </w:r>
          </w:p>
        </w:tc>
      </w:tr>
      <w:tr>
        <w:trPr>
          <w:tblHeader w:val="false"/>
        </w:trPr>
        <w:tc>
          <w:tcPr>
            <w:tcW w:type="dxa" w:w="36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Legacy SFTP gateway (legacy-sftp.veltrix.io)</w:t>
            </w:r>
          </w:p>
        </w:tc>
        <w:tc>
          <w:tcPr>
            <w:tcW w:type="dxa" w:w="26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Platform Operations</w:t>
            </w:r>
          </w:p>
        </w:tc>
        <w:tc>
          <w:tcPr>
            <w:tcW w:type="dxa" w:w="31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Manual removal of user key</w:t>
            </w:r>
          </w:p>
        </w:tc>
      </w:tr>
      <w:tr>
        <w:trPr>
          <w:tblHeader w:val="false"/>
        </w:trPr>
        <w:tc>
          <w:tcPr>
            <w:tcW w:type="dxa" w:w="36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Monitoring dashboards (shared login)</w:t>
            </w:r>
          </w:p>
        </w:tc>
        <w:tc>
          <w:tcPr>
            <w:tcW w:type="dxa" w:w="26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Platform Operations</w:t>
            </w:r>
          </w:p>
        </w:tc>
        <w:tc>
          <w:tcPr>
            <w:tcW w:type="dxa" w:w="31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Shared password rotation</w:t>
            </w:r>
          </w:p>
        </w:tc>
      </w:tr>
      <w:tr>
        <w:trPr>
          <w:tblHeader w:val="false"/>
        </w:trPr>
        <w:tc>
          <w:tcPr>
            <w:tcW w:type="dxa" w:w="36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AWS root accounts</w:t>
            </w:r>
          </w:p>
        </w:tc>
        <w:tc>
          <w:tcPr>
            <w:tcW w:type="dxa" w:w="26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Chief Technology Officer</w:t>
            </w:r>
          </w:p>
        </w:tc>
        <w:tc>
          <w:tcPr>
            <w:tcW w:type="dxa" w:w="31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Sealed credential; not used operationally</w:t>
            </w:r>
          </w:p>
        </w:tc>
      </w:tr>
    </w:tbl>
    <w:p>
      <w:pPr>
        <w:spacing w:after="120" w:before="0"/>
      </w:pPr>
      <w:r>
        <w:rPr>
          <w:rFonts w:ascii="Arial" w:cs="Arial" w:eastAsia="Arial" w:hAnsi="Arial"/>
          <w:sz w:val="21"/>
          <w:szCs w:val="21"/>
        </w:rPr>
        <w:t xml:space="preserve"/>
      </w:r>
    </w:p>
    <w:p>
      <w:pPr>
        <w:pStyle w:val="Heading1"/>
        <w:spacing w:after="140" w:before="320"/>
      </w:pPr>
      <w:r>
        <w:rPr>
          <w:rFonts w:ascii="Arial" w:cs="Arial" w:eastAsia="Arial" w:hAnsi="Arial"/>
        </w:rPr>
        <w:t xml:space="preserve">Appendix B — Revision history</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1100"/>
        <w:gridCol w:w="1700"/>
        <w:gridCol w:w="2200"/>
        <w:gridCol w:w="4360"/>
      </w:tblGrid>
      <w:tr>
        <w:trPr>
          <w:tblHeader/>
        </w:trPr>
        <w:tc>
          <w:tcPr>
            <w:tcW w:type="dxa" w:w="11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Version</w:t>
            </w:r>
          </w:p>
        </w:tc>
        <w:tc>
          <w:tcPr>
            <w:tcW w:type="dxa" w:w="17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Date</w:t>
            </w:r>
          </w:p>
        </w:tc>
        <w:tc>
          <w:tcPr>
            <w:tcW w:type="dxa" w:w="22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Author</w:t>
            </w:r>
          </w:p>
        </w:tc>
        <w:tc>
          <w:tcPr>
            <w:tcW w:type="dxa" w:w="436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Summary of changes</w:t>
            </w:r>
          </w:p>
        </w:tc>
      </w:tr>
      <w:tr>
        <w:trPr>
          <w:tblHeader w:val="false"/>
        </w:trPr>
        <w:tc>
          <w:tcPr>
            <w:tcW w:type="dxa" w:w="11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1.0</w:t>
            </w:r>
          </w:p>
        </w:tc>
        <w:tc>
          <w:tcPr>
            <w:tcW w:type="dxa" w:w="17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5 May 2021</w:t>
            </w:r>
          </w:p>
        </w:tc>
        <w:tc>
          <w:tcPr>
            <w:tcW w:type="dxa" w:w="22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M. Lim</w:t>
            </w:r>
          </w:p>
        </w:tc>
        <w:tc>
          <w:tcPr>
            <w:tcW w:type="dxa" w:w="43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Initial issue</w:t>
            </w:r>
          </w:p>
        </w:tc>
      </w:tr>
      <w:tr>
        <w:trPr>
          <w:tblHeader w:val="false"/>
        </w:trPr>
        <w:tc>
          <w:tcPr>
            <w:tcW w:type="dxa" w:w="11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1.1</w:t>
            </w:r>
          </w:p>
        </w:tc>
        <w:tc>
          <w:tcPr>
            <w:tcW w:type="dxa" w:w="17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12 April 2023</w:t>
            </w:r>
          </w:p>
        </w:tc>
        <w:tc>
          <w:tcPr>
            <w:tcW w:type="dxa" w:w="22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M. Lim</w:t>
            </w:r>
          </w:p>
        </w:tc>
        <w:tc>
          <w:tcPr>
            <w:tcW w:type="dxa" w:w="43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Added support console access requirements</w:t>
            </w:r>
          </w:p>
        </w:tc>
      </w:tr>
      <w:tr>
        <w:trPr>
          <w:tblHeader w:val="false"/>
        </w:trPr>
        <w:tc>
          <w:tcPr>
            <w:tcW w:type="dxa" w:w="11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2.0</w:t>
            </w:r>
          </w:p>
        </w:tc>
        <w:tc>
          <w:tcPr>
            <w:tcW w:type="dxa" w:w="17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1 June 2026</w:t>
            </w:r>
          </w:p>
        </w:tc>
        <w:tc>
          <w:tcPr>
            <w:tcW w:type="dxa" w:w="22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M. Lim</w:t>
            </w:r>
          </w:p>
        </w:tc>
        <w:tc>
          <w:tcPr>
            <w:tcW w:type="dxa" w:w="43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Annual review; added break-glass process for Pune L3 support; added Appendix A</w:t>
            </w:r>
          </w:p>
        </w:tc>
      </w:tr>
    </w:tbl>
    <w:sectPr>
      <w:headerReference w:type="default" r:id="rId7"/>
      <w:footerReference w:type="default" r:id="rId8"/>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Veltrix Onboard Pte. Ltd. — Confidential — Provided to Northgate Bank (Asia) Limited under NDA</w:t>
    </w:r>
    <w:r>
      <w:rPr>
        <w:rFonts w:ascii="Arial" w:cs="Arial" w:eastAsia="Arial" w:hAnsi="Arial"/>
        <w:color w:val="808080"/>
        <w:sz w:val="16"/>
        <w:szCs w:val="16"/>
      </w:rPr>
      <w:t xml:space="preserve">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Access Control Policy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A5F"/>
      <w:sz w:val="30"/>
      <w:szCs w:val="30"/>
    </w:rPr>
  </w:style>
  <w:style w:type="paragraph" w:styleId="Heading2">
    <w:name w:val="Heading 2"/>
    <w:basedOn w:val="Normal"/>
    <w:next w:val="Normal"/>
    <w:qFormat/>
    <w:pPr>
      <w:outlineLvl w:val="1"/>
    </w:pPr>
    <w:rPr>
      <w:rFonts w:ascii="Arial" w:cs="Arial" w:eastAsia="Arial" w:hAnsi="Arial"/>
      <w:b/>
      <w:bCs/>
      <w:color w:val="1F3A5F"/>
      <w:sz w:val="25"/>
      <w:szCs w:val="25"/>
    </w:rPr>
  </w:style>
  <w:style w:type="paragraph" w:styleId="Heading3">
    <w:name w:val="Heading 3"/>
    <w:basedOn w:val="Normal"/>
    <w:next w:val="Normal"/>
    <w:qFormat/>
    <w:pPr>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 Control Policy</dc:title>
  <dc:creator>Veltrix Onboard Pte. Ltd.</dc:creator>
  <cp:lastModifiedBy>Un-named</cp:lastModifiedBy>
  <cp:revision>1</cp:revision>
  <dcterms:created xsi:type="dcterms:W3CDTF">2026-09-02T00:26:23.404Z</dcterms:created>
  <dcterms:modified xsi:type="dcterms:W3CDTF">2026-09-02T00:26:23.404Z</dcterms:modified>
</cp:coreProperties>
</file>

<file path=docProps/custom.xml><?xml version="1.0" encoding="utf-8"?>
<Properties xmlns="http://schemas.openxmlformats.org/officeDocument/2006/custom-properties" xmlns:vt="http://schemas.openxmlformats.org/officeDocument/2006/docPropsVTypes"/>
</file>