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before="1200"/>
      </w:pPr>
      <w:r>
        <w:rPr>
          <w:rFonts w:ascii="Arial" w:cs="Arial" w:eastAsia="Arial" w:hAnsi="Arial"/>
          <w:b/>
          <w:bCs/>
          <w:color w:val="1F3A5F"/>
          <w:sz w:val="40"/>
          <w:szCs w:val="40"/>
        </w:rPr>
        <w:t xml:space="preserve">Incident Response Policy</w:t>
      </w:r>
    </w:p>
    <w:p>
      <w:pPr>
        <w:pBdr>
          <w:bottom w:val="single" w:color="1F3A5F" w:sz="8" w:space="6"/>
        </w:pBdr>
        <w:spacing w:after="400"/>
      </w:pPr>
      <w:r>
        <w:rPr>
          <w:rFonts w:ascii="Arial" w:cs="Arial" w:eastAsia="Arial" w:hAnsi="Arial"/>
          <w:color w:val="595959"/>
          <w:sz w:val="24"/>
          <w:szCs w:val="24"/>
        </w:rPr>
        <w:t xml:space="preserve">Veltrix Onboard Pte. Ltd. — VLX-POL-007 v1.4</w:t>
      </w:r>
    </w:p>
    <w:tbl>
      <w:tblPr>
        <w:tblW w:type="dxa" w:w="9360"/>
        <w:tblBorders>
          <w:top w:val="single" w:color="A6A6A6" w:sz="4"/>
          <w:left w:val="single" w:color="A6A6A6" w:sz="4"/>
          <w:bottom w:val="single" w:color="A6A6A6" w:sz="4"/>
          <w:right w:val="single" w:color="A6A6A6" w:sz="4"/>
          <w:insideH w:val="single" w:color="A6A6A6" w:sz="4"/>
          <w:insideV w:val="single" w:color="A6A6A6" w:sz="4"/>
        </w:tblBorders>
      </w:tblPr>
      <w:tblGrid>
        <w:gridCol w:w="2800"/>
        <w:gridCol w:w="6560"/>
      </w:tblGrid>
      <w:tr>
        <w:trPr>
          <w:tblHeader w:val="false"/>
        </w:trPr>
        <w:tc>
          <w:tcPr>
            <w:tcW w:type="dxa" w:w="2800"/>
            <w:shd w:fill="F2F2F2" w:color="auto" w:val="clear"/>
            <w:tcMar>
              <w:top w:type="dxa" w:w="60"/>
              <w:left w:type="dxa" w:w="100"/>
              <w:bottom w:type="dxa" w:w="60"/>
              <w:right w:type="dxa" w:w="100"/>
            </w:tcMar>
            <w:vAlign w:val="center"/>
          </w:tcPr>
          <w:p>
            <w:pPr>
              <w:spacing w:after="0"/>
            </w:pPr>
            <w:r>
              <w:rPr>
                <w:rFonts w:ascii="Arial" w:cs="Arial" w:eastAsia="Arial" w:hAnsi="Arial"/>
                <w:b w:val="false"/>
                <w:bCs w:val="false"/>
                <w:sz w:val="19"/>
                <w:szCs w:val="19"/>
              </w:rPr>
              <w:t xml:space="preserve">Document ID</w:t>
            </w:r>
          </w:p>
        </w:tc>
        <w:tc>
          <w:tcPr>
            <w:tcW w:type="dxa" w:w="6560"/>
            <w:tcMar>
              <w:top w:type="dxa" w:w="60"/>
              <w:left w:type="dxa" w:w="100"/>
              <w:bottom w:type="dxa" w:w="60"/>
              <w:right w:type="dxa" w:w="100"/>
            </w:tcMar>
            <w:vAlign w:val="center"/>
          </w:tcPr>
          <w:p>
            <w:pPr>
              <w:spacing w:after="0"/>
            </w:pPr>
            <w:r>
              <w:rPr>
                <w:rFonts w:ascii="Arial" w:cs="Arial" w:eastAsia="Arial" w:hAnsi="Arial"/>
                <w:b w:val="false"/>
                <w:bCs w:val="false"/>
                <w:sz w:val="19"/>
                <w:szCs w:val="19"/>
              </w:rPr>
              <w:t xml:space="preserve">VLX-POL-007</w:t>
            </w:r>
          </w:p>
        </w:tc>
      </w:tr>
      <w:tr>
        <w:trPr>
          <w:tblHeader w:val="false"/>
        </w:trPr>
        <w:tc>
          <w:tcPr>
            <w:tcW w:type="dxa" w:w="2800"/>
            <w:shd w:fill="F2F2F2" w:color="auto" w:val="clear"/>
            <w:tcMar>
              <w:top w:type="dxa" w:w="60"/>
              <w:left w:type="dxa" w:w="100"/>
              <w:bottom w:type="dxa" w:w="60"/>
              <w:right w:type="dxa" w:w="100"/>
            </w:tcMar>
            <w:vAlign w:val="center"/>
          </w:tcPr>
          <w:p>
            <w:pPr>
              <w:spacing w:after="0"/>
            </w:pPr>
            <w:r>
              <w:rPr>
                <w:rFonts w:ascii="Arial" w:cs="Arial" w:eastAsia="Arial" w:hAnsi="Arial"/>
                <w:b w:val="false"/>
                <w:bCs w:val="false"/>
                <w:sz w:val="19"/>
                <w:szCs w:val="19"/>
              </w:rPr>
              <w:t xml:space="preserve">Version</w:t>
            </w:r>
          </w:p>
        </w:tc>
        <w:tc>
          <w:tcPr>
            <w:tcW w:type="dxa" w:w="6560"/>
            <w:tcMar>
              <w:top w:type="dxa" w:w="60"/>
              <w:left w:type="dxa" w:w="100"/>
              <w:bottom w:type="dxa" w:w="60"/>
              <w:right w:type="dxa" w:w="100"/>
            </w:tcMar>
            <w:vAlign w:val="center"/>
          </w:tcPr>
          <w:p>
            <w:pPr>
              <w:spacing w:after="0"/>
            </w:pPr>
            <w:r>
              <w:rPr>
                <w:rFonts w:ascii="Arial" w:cs="Arial" w:eastAsia="Arial" w:hAnsi="Arial"/>
                <w:b w:val="false"/>
                <w:bCs w:val="false"/>
                <w:sz w:val="19"/>
                <w:szCs w:val="19"/>
              </w:rPr>
              <w:t xml:space="preserve">1.4</w:t>
            </w:r>
          </w:p>
        </w:tc>
      </w:tr>
      <w:tr>
        <w:trPr>
          <w:tblHeader w:val="false"/>
        </w:trPr>
        <w:tc>
          <w:tcPr>
            <w:tcW w:type="dxa" w:w="2800"/>
            <w:shd w:fill="F2F2F2" w:color="auto" w:val="clear"/>
            <w:tcMar>
              <w:top w:type="dxa" w:w="60"/>
              <w:left w:type="dxa" w:w="100"/>
              <w:bottom w:type="dxa" w:w="60"/>
              <w:right w:type="dxa" w:w="100"/>
            </w:tcMar>
            <w:vAlign w:val="center"/>
          </w:tcPr>
          <w:p>
            <w:pPr>
              <w:spacing w:after="0"/>
            </w:pPr>
            <w:r>
              <w:rPr>
                <w:rFonts w:ascii="Arial" w:cs="Arial" w:eastAsia="Arial" w:hAnsi="Arial"/>
                <w:b w:val="false"/>
                <w:bCs w:val="false"/>
                <w:sz w:val="19"/>
                <w:szCs w:val="19"/>
              </w:rPr>
              <w:t xml:space="preserve">Document owner</w:t>
            </w:r>
          </w:p>
        </w:tc>
        <w:tc>
          <w:tcPr>
            <w:tcW w:type="dxa" w:w="6560"/>
            <w:tcMar>
              <w:top w:type="dxa" w:w="60"/>
              <w:left w:type="dxa" w:w="100"/>
              <w:bottom w:type="dxa" w:w="60"/>
              <w:right w:type="dxa" w:w="100"/>
            </w:tcMar>
            <w:vAlign w:val="center"/>
          </w:tcPr>
          <w:p>
            <w:pPr>
              <w:spacing w:after="0"/>
            </w:pPr>
            <w:r>
              <w:rPr>
                <w:rFonts w:ascii="Arial" w:cs="Arial" w:eastAsia="Arial" w:hAnsi="Arial"/>
                <w:b w:val="false"/>
                <w:bCs w:val="false"/>
                <w:sz w:val="19"/>
                <w:szCs w:val="19"/>
              </w:rPr>
              <w:t xml:space="preserve">Head of Security &amp; Compliance (Marcus Lim)</w:t>
            </w:r>
          </w:p>
        </w:tc>
      </w:tr>
      <w:tr>
        <w:trPr>
          <w:tblHeader w:val="false"/>
        </w:trPr>
        <w:tc>
          <w:tcPr>
            <w:tcW w:type="dxa" w:w="2800"/>
            <w:shd w:fill="F2F2F2" w:color="auto" w:val="clear"/>
            <w:tcMar>
              <w:top w:type="dxa" w:w="60"/>
              <w:left w:type="dxa" w:w="100"/>
              <w:bottom w:type="dxa" w:w="60"/>
              <w:right w:type="dxa" w:w="100"/>
            </w:tcMar>
            <w:vAlign w:val="center"/>
          </w:tcPr>
          <w:p>
            <w:pPr>
              <w:spacing w:after="0"/>
            </w:pPr>
            <w:r>
              <w:rPr>
                <w:rFonts w:ascii="Arial" w:cs="Arial" w:eastAsia="Arial" w:hAnsi="Arial"/>
                <w:b w:val="false"/>
                <w:bCs w:val="false"/>
                <w:sz w:val="19"/>
                <w:szCs w:val="19"/>
              </w:rPr>
              <w:t xml:space="preserve">Approved by</w:t>
            </w:r>
          </w:p>
        </w:tc>
        <w:tc>
          <w:tcPr>
            <w:tcW w:type="dxa" w:w="6560"/>
            <w:tcMar>
              <w:top w:type="dxa" w:w="60"/>
              <w:left w:type="dxa" w:w="100"/>
              <w:bottom w:type="dxa" w:w="60"/>
              <w:right w:type="dxa" w:w="100"/>
            </w:tcMar>
            <w:vAlign w:val="center"/>
          </w:tcPr>
          <w:p>
            <w:pPr>
              <w:spacing w:after="0"/>
            </w:pPr>
            <w:r>
              <w:rPr>
                <w:rFonts w:ascii="Arial" w:cs="Arial" w:eastAsia="Arial" w:hAnsi="Arial"/>
                <w:b w:val="false"/>
                <w:bCs w:val="false"/>
                <w:sz w:val="19"/>
                <w:szCs w:val="19"/>
              </w:rPr>
              <w:t xml:space="preserve">Chief Technology Officer (Priya Raman)</w:t>
            </w:r>
          </w:p>
        </w:tc>
      </w:tr>
      <w:tr>
        <w:trPr>
          <w:tblHeader w:val="false"/>
        </w:trPr>
        <w:tc>
          <w:tcPr>
            <w:tcW w:type="dxa" w:w="2800"/>
            <w:shd w:fill="F2F2F2" w:color="auto" w:val="clear"/>
            <w:tcMar>
              <w:top w:type="dxa" w:w="60"/>
              <w:left w:type="dxa" w:w="100"/>
              <w:bottom w:type="dxa" w:w="60"/>
              <w:right w:type="dxa" w:w="100"/>
            </w:tcMar>
            <w:vAlign w:val="center"/>
          </w:tcPr>
          <w:p>
            <w:pPr>
              <w:spacing w:after="0"/>
            </w:pPr>
            <w:r>
              <w:rPr>
                <w:rFonts w:ascii="Arial" w:cs="Arial" w:eastAsia="Arial" w:hAnsi="Arial"/>
                <w:b w:val="false"/>
                <w:bCs w:val="false"/>
                <w:sz w:val="19"/>
                <w:szCs w:val="19"/>
              </w:rPr>
              <w:t xml:space="preserve">Classification</w:t>
            </w:r>
          </w:p>
        </w:tc>
        <w:tc>
          <w:tcPr>
            <w:tcW w:type="dxa" w:w="6560"/>
            <w:tcMar>
              <w:top w:type="dxa" w:w="60"/>
              <w:left w:type="dxa" w:w="100"/>
              <w:bottom w:type="dxa" w:w="60"/>
              <w:right w:type="dxa" w:w="100"/>
            </w:tcMar>
            <w:vAlign w:val="center"/>
          </w:tcPr>
          <w:p>
            <w:pPr>
              <w:spacing w:after="0"/>
            </w:pPr>
            <w:r>
              <w:rPr>
                <w:rFonts w:ascii="Arial" w:cs="Arial" w:eastAsia="Arial" w:hAnsi="Arial"/>
                <w:b w:val="false"/>
                <w:bCs w:val="false"/>
                <w:sz w:val="19"/>
                <w:szCs w:val="19"/>
              </w:rPr>
              <w:t xml:space="preserve">Internal — shareable with customers under NDA</w:t>
            </w:r>
          </w:p>
        </w:tc>
      </w:tr>
      <w:tr>
        <w:trPr>
          <w:tblHeader w:val="false"/>
        </w:trPr>
        <w:tc>
          <w:tcPr>
            <w:tcW w:type="dxa" w:w="2800"/>
            <w:shd w:fill="F2F2F2" w:color="auto" w:val="clear"/>
            <w:tcMar>
              <w:top w:type="dxa" w:w="60"/>
              <w:left w:type="dxa" w:w="100"/>
              <w:bottom w:type="dxa" w:w="60"/>
              <w:right w:type="dxa" w:w="100"/>
            </w:tcMar>
            <w:vAlign w:val="center"/>
          </w:tcPr>
          <w:p>
            <w:pPr>
              <w:spacing w:after="0"/>
            </w:pPr>
            <w:r>
              <w:rPr>
                <w:rFonts w:ascii="Arial" w:cs="Arial" w:eastAsia="Arial" w:hAnsi="Arial"/>
                <w:b w:val="false"/>
                <w:bCs w:val="false"/>
                <w:sz w:val="19"/>
                <w:szCs w:val="19"/>
              </w:rPr>
              <w:t xml:space="preserve">Effective date</w:t>
            </w:r>
          </w:p>
        </w:tc>
        <w:tc>
          <w:tcPr>
            <w:tcW w:type="dxa" w:w="6560"/>
            <w:tcMar>
              <w:top w:type="dxa" w:w="60"/>
              <w:left w:type="dxa" w:w="100"/>
              <w:bottom w:type="dxa" w:w="60"/>
              <w:right w:type="dxa" w:w="100"/>
            </w:tcMar>
            <w:vAlign w:val="center"/>
          </w:tcPr>
          <w:p>
            <w:pPr>
              <w:spacing w:after="0"/>
            </w:pPr>
            <w:r>
              <w:rPr>
                <w:rFonts w:ascii="Arial" w:cs="Arial" w:eastAsia="Arial" w:hAnsi="Arial"/>
                <w:b w:val="false"/>
                <w:bCs w:val="false"/>
                <w:sz w:val="19"/>
                <w:szCs w:val="19"/>
              </w:rPr>
              <w:t xml:space="preserve">15 June 2026</w:t>
            </w:r>
          </w:p>
        </w:tc>
      </w:tr>
      <w:tr>
        <w:trPr>
          <w:tblHeader w:val="false"/>
        </w:trPr>
        <w:tc>
          <w:tcPr>
            <w:tcW w:type="dxa" w:w="2800"/>
            <w:shd w:fill="F2F2F2" w:color="auto" w:val="clear"/>
            <w:tcMar>
              <w:top w:type="dxa" w:w="60"/>
              <w:left w:type="dxa" w:w="100"/>
              <w:bottom w:type="dxa" w:w="60"/>
              <w:right w:type="dxa" w:w="100"/>
            </w:tcMar>
            <w:vAlign w:val="center"/>
          </w:tcPr>
          <w:p>
            <w:pPr>
              <w:spacing w:after="0"/>
            </w:pPr>
            <w:r>
              <w:rPr>
                <w:rFonts w:ascii="Arial" w:cs="Arial" w:eastAsia="Arial" w:hAnsi="Arial"/>
                <w:b w:val="false"/>
                <w:bCs w:val="false"/>
                <w:sz w:val="19"/>
                <w:szCs w:val="19"/>
              </w:rPr>
              <w:t xml:space="preserve">Last reviewed</w:t>
            </w:r>
          </w:p>
        </w:tc>
        <w:tc>
          <w:tcPr>
            <w:tcW w:type="dxa" w:w="6560"/>
            <w:tcMar>
              <w:top w:type="dxa" w:w="60"/>
              <w:left w:type="dxa" w:w="100"/>
              <w:bottom w:type="dxa" w:w="60"/>
              <w:right w:type="dxa" w:w="100"/>
            </w:tcMar>
            <w:vAlign w:val="center"/>
          </w:tcPr>
          <w:p>
            <w:pPr>
              <w:spacing w:after="0"/>
            </w:pPr>
            <w:r>
              <w:rPr>
                <w:rFonts w:ascii="Arial" w:cs="Arial" w:eastAsia="Arial" w:hAnsi="Arial"/>
                <w:b w:val="false"/>
                <w:bCs w:val="false"/>
                <w:sz w:val="19"/>
                <w:szCs w:val="19"/>
              </w:rPr>
              <w:t xml:space="preserve">15 June 2026</w:t>
            </w:r>
          </w:p>
        </w:tc>
      </w:tr>
      <w:tr>
        <w:trPr>
          <w:tblHeader w:val="false"/>
        </w:trPr>
        <w:tc>
          <w:tcPr>
            <w:tcW w:type="dxa" w:w="2800"/>
            <w:shd w:fill="F2F2F2" w:color="auto" w:val="clear"/>
            <w:tcMar>
              <w:top w:type="dxa" w:w="60"/>
              <w:left w:type="dxa" w:w="100"/>
              <w:bottom w:type="dxa" w:w="60"/>
              <w:right w:type="dxa" w:w="100"/>
            </w:tcMar>
            <w:vAlign w:val="center"/>
          </w:tcPr>
          <w:p>
            <w:pPr>
              <w:spacing w:after="0"/>
            </w:pPr>
            <w:r>
              <w:rPr>
                <w:rFonts w:ascii="Arial" w:cs="Arial" w:eastAsia="Arial" w:hAnsi="Arial"/>
                <w:b w:val="false"/>
                <w:bCs w:val="false"/>
                <w:sz w:val="19"/>
                <w:szCs w:val="19"/>
              </w:rPr>
              <w:t xml:space="preserve">Next review due</w:t>
            </w:r>
          </w:p>
        </w:tc>
        <w:tc>
          <w:tcPr>
            <w:tcW w:type="dxa" w:w="6560"/>
            <w:tcMar>
              <w:top w:type="dxa" w:w="60"/>
              <w:left w:type="dxa" w:w="100"/>
              <w:bottom w:type="dxa" w:w="60"/>
              <w:right w:type="dxa" w:w="100"/>
            </w:tcMar>
            <w:vAlign w:val="center"/>
          </w:tcPr>
          <w:p>
            <w:pPr>
              <w:spacing w:after="0"/>
            </w:pPr>
            <w:r>
              <w:rPr>
                <w:rFonts w:ascii="Arial" w:cs="Arial" w:eastAsia="Arial" w:hAnsi="Arial"/>
                <w:b w:val="false"/>
                <w:bCs w:val="false"/>
                <w:sz w:val="19"/>
                <w:szCs w:val="19"/>
              </w:rPr>
              <w:t xml:space="preserve">15 June 2027</w:t>
            </w:r>
          </w:p>
        </w:tc>
      </w:tr>
      <w:tr>
        <w:trPr>
          <w:tblHeader w:val="false"/>
        </w:trPr>
        <w:tc>
          <w:tcPr>
            <w:tcW w:type="dxa" w:w="2800"/>
            <w:shd w:fill="F2F2F2" w:color="auto" w:val="clear"/>
            <w:tcMar>
              <w:top w:type="dxa" w:w="60"/>
              <w:left w:type="dxa" w:w="100"/>
              <w:bottom w:type="dxa" w:w="60"/>
              <w:right w:type="dxa" w:w="100"/>
            </w:tcMar>
            <w:vAlign w:val="center"/>
          </w:tcPr>
          <w:p>
            <w:pPr>
              <w:spacing w:after="0"/>
            </w:pPr>
            <w:r>
              <w:rPr>
                <w:rFonts w:ascii="Arial" w:cs="Arial" w:eastAsia="Arial" w:hAnsi="Arial"/>
                <w:b w:val="false"/>
                <w:bCs w:val="false"/>
                <w:sz w:val="19"/>
                <w:szCs w:val="19"/>
              </w:rPr>
              <w:t xml:space="preserve">Review cycle</w:t>
            </w:r>
          </w:p>
        </w:tc>
        <w:tc>
          <w:tcPr>
            <w:tcW w:type="dxa" w:w="6560"/>
            <w:tcMar>
              <w:top w:type="dxa" w:w="60"/>
              <w:left w:type="dxa" w:w="100"/>
              <w:bottom w:type="dxa" w:w="60"/>
              <w:right w:type="dxa" w:w="100"/>
            </w:tcMar>
            <w:vAlign w:val="center"/>
          </w:tcPr>
          <w:p>
            <w:pPr>
              <w:spacing w:after="0"/>
            </w:pPr>
            <w:r>
              <w:rPr>
                <w:rFonts w:ascii="Arial" w:cs="Arial" w:eastAsia="Arial" w:hAnsi="Arial"/>
                <w:b w:val="false"/>
                <w:bCs w:val="false"/>
                <w:sz w:val="19"/>
                <w:szCs w:val="19"/>
              </w:rPr>
              <w:t xml:space="preserve">Annual</w:t>
            </w:r>
          </w:p>
        </w:tc>
      </w:tr>
    </w:tbl>
    <w:p>
      <w:pPr>
        <w:spacing w:after="120" w:before="0"/>
      </w:pPr>
      <w:r>
        <w:rPr>
          <w:rFonts w:ascii="Arial" w:cs="Arial" w:eastAsia="Arial" w:hAnsi="Arial"/>
          <w:sz w:val="21"/>
          <w:szCs w:val="21"/>
        </w:rPr>
        <w:t xml:space="preserve"/>
      </w:r>
    </w:p>
    <w:p>
      <w:pPr>
        <w:pStyle w:val="Heading1"/>
        <w:spacing w:after="140" w:before="320"/>
      </w:pPr>
      <w:r>
        <w:rPr>
          <w:rFonts w:ascii="Arial" w:cs="Arial" w:eastAsia="Arial" w:hAnsi="Arial"/>
        </w:rPr>
        <w:t xml:space="preserve">1. Purpose</w:t>
      </w:r>
    </w:p>
    <w:p>
      <w:pPr>
        <w:spacing w:after="120" w:before="0"/>
      </w:pPr>
      <w:r>
        <w:rPr>
          <w:rFonts w:ascii="Arial" w:cs="Arial" w:eastAsia="Arial" w:hAnsi="Arial"/>
          <w:sz w:val="21"/>
          <w:szCs w:val="21"/>
        </w:rPr>
        <w:t xml:space="preserve">This policy defines how Veltrix detects, assesses, responds to, and learns from security incidents, and how customers, regulators and other stakeholders are informed. It supports the Information Security Policy (VLX-POL-001).</w:t>
      </w:r>
    </w:p>
    <w:p>
      <w:pPr>
        <w:pStyle w:val="Heading1"/>
        <w:spacing w:after="140" w:before="320"/>
      </w:pPr>
      <w:r>
        <w:rPr>
          <w:rFonts w:ascii="Arial" w:cs="Arial" w:eastAsia="Arial" w:hAnsi="Arial"/>
        </w:rPr>
        <w:t xml:space="preserve">2. Scope</w:t>
      </w:r>
    </w:p>
    <w:p>
      <w:pPr>
        <w:spacing w:after="120" w:before="0"/>
      </w:pPr>
      <w:r>
        <w:rPr>
          <w:rFonts w:ascii="Arial" w:cs="Arial" w:eastAsia="Arial" w:hAnsi="Arial"/>
          <w:sz w:val="21"/>
          <w:szCs w:val="21"/>
        </w:rPr>
        <w:t xml:space="preserve">All security events and incidents affecting Veltrix systems, personnel, or Customer Data, including incidents originating at subprocessors.</w:t>
      </w:r>
    </w:p>
    <w:p>
      <w:pPr>
        <w:pStyle w:val="Heading1"/>
        <w:spacing w:after="140" w:before="320"/>
      </w:pPr>
      <w:r>
        <w:rPr>
          <w:rFonts w:ascii="Arial" w:cs="Arial" w:eastAsia="Arial" w:hAnsi="Arial"/>
        </w:rPr>
        <w:t xml:space="preserve">3. Definitions</w:t>
      </w:r>
    </w:p>
    <w:tbl>
      <w:tblPr>
        <w:tblW w:type="dxa" w:w="9360"/>
        <w:tblBorders>
          <w:top w:val="single" w:color="A6A6A6" w:sz="4"/>
          <w:left w:val="single" w:color="A6A6A6" w:sz="4"/>
          <w:bottom w:val="single" w:color="A6A6A6" w:sz="4"/>
          <w:right w:val="single" w:color="A6A6A6" w:sz="4"/>
          <w:insideH w:val="single" w:color="A6A6A6" w:sz="4"/>
          <w:insideV w:val="single" w:color="A6A6A6" w:sz="4"/>
        </w:tblBorders>
      </w:tblPr>
      <w:tblGrid>
        <w:gridCol w:w="2400"/>
        <w:gridCol w:w="6960"/>
      </w:tblGrid>
      <w:tr>
        <w:trPr>
          <w:tblHeader/>
        </w:trPr>
        <w:tc>
          <w:tcPr>
            <w:tcW w:type="dxa" w:w="2400"/>
            <w:shd w:fill="D9D9D9" w:color="auto" w:val="clear"/>
            <w:tcMar>
              <w:top w:type="dxa" w:w="60"/>
              <w:left w:type="dxa" w:w="100"/>
              <w:bottom w:type="dxa" w:w="60"/>
              <w:right w:type="dxa" w:w="100"/>
            </w:tcMar>
            <w:vAlign w:val="center"/>
          </w:tcPr>
          <w:p>
            <w:pPr>
              <w:spacing w:after="0"/>
            </w:pPr>
            <w:r>
              <w:rPr>
                <w:rFonts w:ascii="Arial" w:cs="Arial" w:eastAsia="Arial" w:hAnsi="Arial"/>
                <w:b/>
                <w:bCs/>
                <w:sz w:val="19"/>
                <w:szCs w:val="19"/>
              </w:rPr>
              <w:t xml:space="preserve">Term</w:t>
            </w:r>
          </w:p>
        </w:tc>
        <w:tc>
          <w:tcPr>
            <w:tcW w:type="dxa" w:w="6960"/>
            <w:shd w:fill="D9D9D9" w:color="auto" w:val="clear"/>
            <w:tcMar>
              <w:top w:type="dxa" w:w="60"/>
              <w:left w:type="dxa" w:w="100"/>
              <w:bottom w:type="dxa" w:w="60"/>
              <w:right w:type="dxa" w:w="100"/>
            </w:tcMar>
            <w:vAlign w:val="center"/>
          </w:tcPr>
          <w:p>
            <w:pPr>
              <w:spacing w:after="0"/>
            </w:pPr>
            <w:r>
              <w:rPr>
                <w:rFonts w:ascii="Arial" w:cs="Arial" w:eastAsia="Arial" w:hAnsi="Arial"/>
                <w:b/>
                <w:bCs/>
                <w:sz w:val="19"/>
                <w:szCs w:val="19"/>
              </w:rPr>
              <w:t xml:space="preserve">Definition</w:t>
            </w:r>
          </w:p>
        </w:tc>
      </w:tr>
      <w:tr>
        <w:trPr>
          <w:tblHeader w:val="false"/>
        </w:trPr>
        <w:tc>
          <w:tcPr>
            <w:tcW w:type="dxa" w:w="2400"/>
            <w:tcMar>
              <w:top w:type="dxa" w:w="60"/>
              <w:left w:type="dxa" w:w="100"/>
              <w:bottom w:type="dxa" w:w="60"/>
              <w:right w:type="dxa" w:w="100"/>
            </w:tcMar>
            <w:vAlign w:val="center"/>
          </w:tcPr>
          <w:p>
            <w:pPr>
              <w:spacing w:after="0"/>
            </w:pPr>
            <w:r>
              <w:rPr>
                <w:rFonts w:ascii="Arial" w:cs="Arial" w:eastAsia="Arial" w:hAnsi="Arial"/>
                <w:b w:val="false"/>
                <w:bCs w:val="false"/>
                <w:sz w:val="19"/>
                <w:szCs w:val="19"/>
              </w:rPr>
              <w:t xml:space="preserve">Security event</w:t>
            </w:r>
          </w:p>
        </w:tc>
        <w:tc>
          <w:tcPr>
            <w:tcW w:type="dxa" w:w="6960"/>
            <w:tcMar>
              <w:top w:type="dxa" w:w="60"/>
              <w:left w:type="dxa" w:w="100"/>
              <w:bottom w:type="dxa" w:w="60"/>
              <w:right w:type="dxa" w:w="100"/>
            </w:tcMar>
            <w:vAlign w:val="center"/>
          </w:tcPr>
          <w:p>
            <w:pPr>
              <w:spacing w:after="0"/>
            </w:pPr>
            <w:r>
              <w:rPr>
                <w:rFonts w:ascii="Arial" w:cs="Arial" w:eastAsia="Arial" w:hAnsi="Arial"/>
                <w:b w:val="false"/>
                <w:bCs w:val="false"/>
                <w:sz w:val="19"/>
                <w:szCs w:val="19"/>
              </w:rPr>
              <w:t xml:space="preserve">An observable occurrence with potential security relevance (for example a failed login burst or a malware alert).</w:t>
            </w:r>
          </w:p>
        </w:tc>
      </w:tr>
      <w:tr>
        <w:trPr>
          <w:tblHeader w:val="false"/>
        </w:trPr>
        <w:tc>
          <w:tcPr>
            <w:tcW w:type="dxa" w:w="2400"/>
            <w:tcMar>
              <w:top w:type="dxa" w:w="60"/>
              <w:left w:type="dxa" w:w="100"/>
              <w:bottom w:type="dxa" w:w="60"/>
              <w:right w:type="dxa" w:w="100"/>
            </w:tcMar>
            <w:vAlign w:val="center"/>
          </w:tcPr>
          <w:p>
            <w:pPr>
              <w:spacing w:after="0"/>
            </w:pPr>
            <w:r>
              <w:rPr>
                <w:rFonts w:ascii="Arial" w:cs="Arial" w:eastAsia="Arial" w:hAnsi="Arial"/>
                <w:b w:val="false"/>
                <w:bCs w:val="false"/>
                <w:sz w:val="19"/>
                <w:szCs w:val="19"/>
              </w:rPr>
              <w:t xml:space="preserve">Security incident</w:t>
            </w:r>
          </w:p>
        </w:tc>
        <w:tc>
          <w:tcPr>
            <w:tcW w:type="dxa" w:w="6960"/>
            <w:tcMar>
              <w:top w:type="dxa" w:w="60"/>
              <w:left w:type="dxa" w:w="100"/>
              <w:bottom w:type="dxa" w:w="60"/>
              <w:right w:type="dxa" w:w="100"/>
            </w:tcMar>
            <w:vAlign w:val="center"/>
          </w:tcPr>
          <w:p>
            <w:pPr>
              <w:spacing w:after="0"/>
            </w:pPr>
            <w:r>
              <w:rPr>
                <w:rFonts w:ascii="Arial" w:cs="Arial" w:eastAsia="Arial" w:hAnsi="Arial"/>
                <w:b w:val="false"/>
                <w:bCs w:val="false"/>
                <w:sz w:val="19"/>
                <w:szCs w:val="19"/>
              </w:rPr>
              <w:t xml:space="preserve">A confirmed or reasonably suspected compromise of the confidentiality, integrity or availability of Veltrix systems or data.</w:t>
            </w:r>
          </w:p>
        </w:tc>
      </w:tr>
      <w:tr>
        <w:trPr>
          <w:tblHeader w:val="false"/>
        </w:trPr>
        <w:tc>
          <w:tcPr>
            <w:tcW w:type="dxa" w:w="2400"/>
            <w:tcMar>
              <w:top w:type="dxa" w:w="60"/>
              <w:left w:type="dxa" w:w="100"/>
              <w:bottom w:type="dxa" w:w="60"/>
              <w:right w:type="dxa" w:w="100"/>
            </w:tcMar>
            <w:vAlign w:val="center"/>
          </w:tcPr>
          <w:p>
            <w:pPr>
              <w:spacing w:after="0"/>
            </w:pPr>
            <w:r>
              <w:rPr>
                <w:rFonts w:ascii="Arial" w:cs="Arial" w:eastAsia="Arial" w:hAnsi="Arial"/>
                <w:b w:val="false"/>
                <w:bCs w:val="false"/>
                <w:sz w:val="19"/>
                <w:szCs w:val="19"/>
              </w:rPr>
              <w:t xml:space="preserve">Personal data breach</w:t>
            </w:r>
          </w:p>
        </w:tc>
        <w:tc>
          <w:tcPr>
            <w:tcW w:type="dxa" w:w="6960"/>
            <w:tcMar>
              <w:top w:type="dxa" w:w="60"/>
              <w:left w:type="dxa" w:w="100"/>
              <w:bottom w:type="dxa" w:w="60"/>
              <w:right w:type="dxa" w:w="100"/>
            </w:tcMar>
            <w:vAlign w:val="center"/>
          </w:tcPr>
          <w:p>
            <w:pPr>
              <w:spacing w:after="0"/>
            </w:pPr>
            <w:r>
              <w:rPr>
                <w:rFonts w:ascii="Arial" w:cs="Arial" w:eastAsia="Arial" w:hAnsi="Arial"/>
                <w:b w:val="false"/>
                <w:bCs w:val="false"/>
                <w:sz w:val="19"/>
                <w:szCs w:val="19"/>
              </w:rPr>
              <w:t xml:space="preserve">A security incident leading to accidental or unlawful destruction, loss, alteration, unauthorised disclosure of, or access to, personal data.</w:t>
            </w:r>
          </w:p>
        </w:tc>
      </w:tr>
      <w:tr>
        <w:trPr>
          <w:tblHeader w:val="false"/>
        </w:trPr>
        <w:tc>
          <w:tcPr>
            <w:tcW w:type="dxa" w:w="2400"/>
            <w:tcMar>
              <w:top w:type="dxa" w:w="60"/>
              <w:left w:type="dxa" w:w="100"/>
              <w:bottom w:type="dxa" w:w="60"/>
              <w:right w:type="dxa" w:w="100"/>
            </w:tcMar>
            <w:vAlign w:val="center"/>
          </w:tcPr>
          <w:p>
            <w:pPr>
              <w:spacing w:after="0"/>
            </w:pPr>
            <w:r>
              <w:rPr>
                <w:rFonts w:ascii="Arial" w:cs="Arial" w:eastAsia="Arial" w:hAnsi="Arial"/>
                <w:b w:val="false"/>
                <w:bCs w:val="false"/>
                <w:sz w:val="19"/>
                <w:szCs w:val="19"/>
              </w:rPr>
              <w:t xml:space="preserve">Confirmation</w:t>
            </w:r>
          </w:p>
        </w:tc>
        <w:tc>
          <w:tcPr>
            <w:tcW w:type="dxa" w:w="6960"/>
            <w:tcMar>
              <w:top w:type="dxa" w:w="60"/>
              <w:left w:type="dxa" w:w="100"/>
              <w:bottom w:type="dxa" w:w="60"/>
              <w:right w:type="dxa" w:w="100"/>
            </w:tcMar>
            <w:vAlign w:val="center"/>
          </w:tcPr>
          <w:p>
            <w:pPr>
              <w:spacing w:after="0"/>
            </w:pPr>
            <w:r>
              <w:rPr>
                <w:rFonts w:ascii="Arial" w:cs="Arial" w:eastAsia="Arial" w:hAnsi="Arial"/>
                <w:b w:val="false"/>
                <w:bCs w:val="false"/>
                <w:sz w:val="19"/>
                <w:szCs w:val="19"/>
              </w:rPr>
              <w:t xml:space="preserve">The point at which the Incident Manager determines, on the basis of investigation, that Customer Data has been affected.</w:t>
            </w:r>
          </w:p>
        </w:tc>
      </w:tr>
    </w:tbl>
    <w:p>
      <w:pPr>
        <w:pStyle w:val="Heading1"/>
        <w:spacing w:after="140" w:before="320"/>
      </w:pPr>
      <w:r>
        <w:rPr>
          <w:rFonts w:ascii="Arial" w:cs="Arial" w:eastAsia="Arial" w:hAnsi="Arial"/>
        </w:rPr>
        <w:t xml:space="preserve">4. Roles</w:t>
      </w:r>
    </w:p>
    <w:tbl>
      <w:tblPr>
        <w:tblW w:type="dxa" w:w="9360"/>
        <w:tblBorders>
          <w:top w:val="single" w:color="A6A6A6" w:sz="4"/>
          <w:left w:val="single" w:color="A6A6A6" w:sz="4"/>
          <w:bottom w:val="single" w:color="A6A6A6" w:sz="4"/>
          <w:right w:val="single" w:color="A6A6A6" w:sz="4"/>
          <w:insideH w:val="single" w:color="A6A6A6" w:sz="4"/>
          <w:insideV w:val="single" w:color="A6A6A6" w:sz="4"/>
        </w:tblBorders>
      </w:tblPr>
      <w:tblGrid>
        <w:gridCol w:w="3200"/>
        <w:gridCol w:w="6160"/>
      </w:tblGrid>
      <w:tr>
        <w:trPr>
          <w:tblHeader/>
        </w:trPr>
        <w:tc>
          <w:tcPr>
            <w:tcW w:type="dxa" w:w="3200"/>
            <w:shd w:fill="D9D9D9" w:color="auto" w:val="clear"/>
            <w:tcMar>
              <w:top w:type="dxa" w:w="60"/>
              <w:left w:type="dxa" w:w="100"/>
              <w:bottom w:type="dxa" w:w="60"/>
              <w:right w:type="dxa" w:w="100"/>
            </w:tcMar>
            <w:vAlign w:val="center"/>
          </w:tcPr>
          <w:p>
            <w:pPr>
              <w:spacing w:after="0"/>
            </w:pPr>
            <w:r>
              <w:rPr>
                <w:rFonts w:ascii="Arial" w:cs="Arial" w:eastAsia="Arial" w:hAnsi="Arial"/>
                <w:b/>
                <w:bCs/>
                <w:sz w:val="19"/>
                <w:szCs w:val="19"/>
              </w:rPr>
              <w:t xml:space="preserve">Role</w:t>
            </w:r>
          </w:p>
        </w:tc>
        <w:tc>
          <w:tcPr>
            <w:tcW w:type="dxa" w:w="6160"/>
            <w:shd w:fill="D9D9D9" w:color="auto" w:val="clear"/>
            <w:tcMar>
              <w:top w:type="dxa" w:w="60"/>
              <w:left w:type="dxa" w:w="100"/>
              <w:bottom w:type="dxa" w:w="60"/>
              <w:right w:type="dxa" w:w="100"/>
            </w:tcMar>
            <w:vAlign w:val="center"/>
          </w:tcPr>
          <w:p>
            <w:pPr>
              <w:spacing w:after="0"/>
            </w:pPr>
            <w:r>
              <w:rPr>
                <w:rFonts w:ascii="Arial" w:cs="Arial" w:eastAsia="Arial" w:hAnsi="Arial"/>
                <w:b/>
                <w:bCs/>
                <w:sz w:val="19"/>
                <w:szCs w:val="19"/>
              </w:rPr>
              <w:t xml:space="preserve">Responsibility</w:t>
            </w:r>
          </w:p>
        </w:tc>
      </w:tr>
      <w:tr>
        <w:trPr>
          <w:tblHeader w:val="false"/>
        </w:trPr>
        <w:tc>
          <w:tcPr>
            <w:tcW w:type="dxa" w:w="3200"/>
            <w:tcMar>
              <w:top w:type="dxa" w:w="60"/>
              <w:left w:type="dxa" w:w="100"/>
              <w:bottom w:type="dxa" w:w="60"/>
              <w:right w:type="dxa" w:w="100"/>
            </w:tcMar>
            <w:vAlign w:val="center"/>
          </w:tcPr>
          <w:p>
            <w:pPr>
              <w:spacing w:after="0"/>
            </w:pPr>
            <w:r>
              <w:rPr>
                <w:rFonts w:ascii="Arial" w:cs="Arial" w:eastAsia="Arial" w:hAnsi="Arial"/>
                <w:b w:val="false"/>
                <w:bCs w:val="false"/>
                <w:sz w:val="19"/>
                <w:szCs w:val="19"/>
              </w:rPr>
              <w:t xml:space="preserve">On-call Operations engineer</w:t>
            </w:r>
          </w:p>
        </w:tc>
        <w:tc>
          <w:tcPr>
            <w:tcW w:type="dxa" w:w="6160"/>
            <w:tcMar>
              <w:top w:type="dxa" w:w="60"/>
              <w:left w:type="dxa" w:w="100"/>
              <w:bottom w:type="dxa" w:w="60"/>
              <w:right w:type="dxa" w:w="100"/>
            </w:tcMar>
            <w:vAlign w:val="center"/>
          </w:tcPr>
          <w:p>
            <w:pPr>
              <w:spacing w:after="0"/>
            </w:pPr>
            <w:r>
              <w:rPr>
                <w:rFonts w:ascii="Arial" w:cs="Arial" w:eastAsia="Arial" w:hAnsi="Arial"/>
                <w:b w:val="false"/>
                <w:bCs w:val="false"/>
                <w:sz w:val="19"/>
                <w:szCs w:val="19"/>
              </w:rPr>
              <w:t xml:space="preserve">First responder; triages alerts; declares a security event.</w:t>
            </w:r>
          </w:p>
        </w:tc>
      </w:tr>
      <w:tr>
        <w:trPr>
          <w:tblHeader w:val="false"/>
        </w:trPr>
        <w:tc>
          <w:tcPr>
            <w:tcW w:type="dxa" w:w="3200"/>
            <w:tcMar>
              <w:top w:type="dxa" w:w="60"/>
              <w:left w:type="dxa" w:w="100"/>
              <w:bottom w:type="dxa" w:w="60"/>
              <w:right w:type="dxa" w:w="100"/>
            </w:tcMar>
            <w:vAlign w:val="center"/>
          </w:tcPr>
          <w:p>
            <w:pPr>
              <w:spacing w:after="0"/>
            </w:pPr>
            <w:r>
              <w:rPr>
                <w:rFonts w:ascii="Arial" w:cs="Arial" w:eastAsia="Arial" w:hAnsi="Arial"/>
                <w:b w:val="false"/>
                <w:bCs w:val="false"/>
                <w:sz w:val="19"/>
                <w:szCs w:val="19"/>
              </w:rPr>
              <w:t xml:space="preserve">Incident Manager (Security team)</w:t>
            </w:r>
          </w:p>
        </w:tc>
        <w:tc>
          <w:tcPr>
            <w:tcW w:type="dxa" w:w="6160"/>
            <w:tcMar>
              <w:top w:type="dxa" w:w="60"/>
              <w:left w:type="dxa" w:w="100"/>
              <w:bottom w:type="dxa" w:w="60"/>
              <w:right w:type="dxa" w:w="100"/>
            </w:tcMar>
            <w:vAlign w:val="center"/>
          </w:tcPr>
          <w:p>
            <w:pPr>
              <w:spacing w:after="0"/>
            </w:pPr>
            <w:r>
              <w:rPr>
                <w:rFonts w:ascii="Arial" w:cs="Arial" w:eastAsia="Arial" w:hAnsi="Arial"/>
                <w:b w:val="false"/>
                <w:bCs w:val="false"/>
                <w:sz w:val="19"/>
                <w:szCs w:val="19"/>
              </w:rPr>
              <w:t xml:space="preserve">Declares and classifies incidents; leads response; owns communications.</w:t>
            </w:r>
          </w:p>
        </w:tc>
      </w:tr>
      <w:tr>
        <w:trPr>
          <w:tblHeader w:val="false"/>
        </w:trPr>
        <w:tc>
          <w:tcPr>
            <w:tcW w:type="dxa" w:w="3200"/>
            <w:tcMar>
              <w:top w:type="dxa" w:w="60"/>
              <w:left w:type="dxa" w:w="100"/>
              <w:bottom w:type="dxa" w:w="60"/>
              <w:right w:type="dxa" w:w="100"/>
            </w:tcMar>
            <w:vAlign w:val="center"/>
          </w:tcPr>
          <w:p>
            <w:pPr>
              <w:spacing w:after="0"/>
            </w:pPr>
            <w:r>
              <w:rPr>
                <w:rFonts w:ascii="Arial" w:cs="Arial" w:eastAsia="Arial" w:hAnsi="Arial"/>
                <w:b w:val="false"/>
                <w:bCs w:val="false"/>
                <w:sz w:val="19"/>
                <w:szCs w:val="19"/>
              </w:rPr>
              <w:t xml:space="preserve">Computer Security Incident Response Team (CSIRT)</w:t>
            </w:r>
          </w:p>
        </w:tc>
        <w:tc>
          <w:tcPr>
            <w:tcW w:type="dxa" w:w="6160"/>
            <w:tcMar>
              <w:top w:type="dxa" w:w="60"/>
              <w:left w:type="dxa" w:w="100"/>
              <w:bottom w:type="dxa" w:w="60"/>
              <w:right w:type="dxa" w:w="100"/>
            </w:tcMar>
            <w:vAlign w:val="center"/>
          </w:tcPr>
          <w:p>
            <w:pPr>
              <w:spacing w:after="0"/>
            </w:pPr>
            <w:r>
              <w:rPr>
                <w:rFonts w:ascii="Arial" w:cs="Arial" w:eastAsia="Arial" w:hAnsi="Arial"/>
                <w:b w:val="false"/>
                <w:bCs w:val="false"/>
                <w:sz w:val="19"/>
                <w:szCs w:val="19"/>
              </w:rPr>
              <w:t xml:space="preserve">Security, Platform Operations, Engineering lead, Legal, Customer Success — convened for P1 and P2 incidents.</w:t>
            </w:r>
          </w:p>
        </w:tc>
      </w:tr>
      <w:tr>
        <w:trPr>
          <w:tblHeader w:val="false"/>
        </w:trPr>
        <w:tc>
          <w:tcPr>
            <w:tcW w:type="dxa" w:w="3200"/>
            <w:tcMar>
              <w:top w:type="dxa" w:w="60"/>
              <w:left w:type="dxa" w:w="100"/>
              <w:bottom w:type="dxa" w:w="60"/>
              <w:right w:type="dxa" w:w="100"/>
            </w:tcMar>
            <w:vAlign w:val="center"/>
          </w:tcPr>
          <w:p>
            <w:pPr>
              <w:spacing w:after="0"/>
            </w:pPr>
            <w:r>
              <w:rPr>
                <w:rFonts w:ascii="Arial" w:cs="Arial" w:eastAsia="Arial" w:hAnsi="Arial"/>
                <w:b w:val="false"/>
                <w:bCs w:val="false"/>
                <w:sz w:val="19"/>
                <w:szCs w:val="19"/>
              </w:rPr>
              <w:t xml:space="preserve">Executive sponsor (CTO)</w:t>
            </w:r>
          </w:p>
        </w:tc>
        <w:tc>
          <w:tcPr>
            <w:tcW w:type="dxa" w:w="6160"/>
            <w:tcMar>
              <w:top w:type="dxa" w:w="60"/>
              <w:left w:type="dxa" w:w="100"/>
              <w:bottom w:type="dxa" w:w="60"/>
              <w:right w:type="dxa" w:w="100"/>
            </w:tcMar>
            <w:vAlign w:val="center"/>
          </w:tcPr>
          <w:p>
            <w:pPr>
              <w:spacing w:after="0"/>
            </w:pPr>
            <w:r>
              <w:rPr>
                <w:rFonts w:ascii="Arial" w:cs="Arial" w:eastAsia="Arial" w:hAnsi="Arial"/>
                <w:b w:val="false"/>
                <w:bCs w:val="false"/>
                <w:sz w:val="19"/>
                <w:szCs w:val="19"/>
              </w:rPr>
              <w:t xml:space="preserve">Approves external communications and major containment decisions (for example taking the platform offline).</w:t>
            </w:r>
          </w:p>
        </w:tc>
      </w:tr>
    </w:tbl>
    <w:p>
      <w:pPr>
        <w:pStyle w:val="Heading1"/>
        <w:spacing w:after="140" w:before="320"/>
      </w:pPr>
      <w:r>
        <w:rPr>
          <w:rFonts w:ascii="Arial" w:cs="Arial" w:eastAsia="Arial" w:hAnsi="Arial"/>
        </w:rPr>
        <w:t xml:space="preserve">5. Severity classification</w:t>
      </w:r>
    </w:p>
    <w:tbl>
      <w:tblPr>
        <w:tblW w:type="dxa" w:w="9360"/>
        <w:tblBorders>
          <w:top w:val="single" w:color="A6A6A6" w:sz="4"/>
          <w:left w:val="single" w:color="A6A6A6" w:sz="4"/>
          <w:bottom w:val="single" w:color="A6A6A6" w:sz="4"/>
          <w:right w:val="single" w:color="A6A6A6" w:sz="4"/>
          <w:insideH w:val="single" w:color="A6A6A6" w:sz="4"/>
          <w:insideV w:val="single" w:color="A6A6A6" w:sz="4"/>
        </w:tblBorders>
      </w:tblPr>
      <w:tblGrid>
        <w:gridCol w:w="1700"/>
        <w:gridCol w:w="4000"/>
        <w:gridCol w:w="1800"/>
        <w:gridCol w:w="1860"/>
      </w:tblGrid>
      <w:tr>
        <w:trPr>
          <w:tblHeader/>
        </w:trPr>
        <w:tc>
          <w:tcPr>
            <w:tcW w:type="dxa" w:w="1700"/>
            <w:shd w:fill="D9D9D9" w:color="auto" w:val="clear"/>
            <w:tcMar>
              <w:top w:type="dxa" w:w="60"/>
              <w:left w:type="dxa" w:w="100"/>
              <w:bottom w:type="dxa" w:w="60"/>
              <w:right w:type="dxa" w:w="100"/>
            </w:tcMar>
            <w:vAlign w:val="center"/>
          </w:tcPr>
          <w:p>
            <w:pPr>
              <w:spacing w:after="0"/>
            </w:pPr>
            <w:r>
              <w:rPr>
                <w:rFonts w:ascii="Arial" w:cs="Arial" w:eastAsia="Arial" w:hAnsi="Arial"/>
                <w:b/>
                <w:bCs/>
                <w:sz w:val="19"/>
                <w:szCs w:val="19"/>
              </w:rPr>
              <w:t xml:space="preserve">Priority</w:t>
            </w:r>
          </w:p>
        </w:tc>
        <w:tc>
          <w:tcPr>
            <w:tcW w:type="dxa" w:w="4000"/>
            <w:shd w:fill="D9D9D9" w:color="auto" w:val="clear"/>
            <w:tcMar>
              <w:top w:type="dxa" w:w="60"/>
              <w:left w:type="dxa" w:w="100"/>
              <w:bottom w:type="dxa" w:w="60"/>
              <w:right w:type="dxa" w:w="100"/>
            </w:tcMar>
            <w:vAlign w:val="center"/>
          </w:tcPr>
          <w:p>
            <w:pPr>
              <w:spacing w:after="0"/>
            </w:pPr>
            <w:r>
              <w:rPr>
                <w:rFonts w:ascii="Arial" w:cs="Arial" w:eastAsia="Arial" w:hAnsi="Arial"/>
                <w:b/>
                <w:bCs/>
                <w:sz w:val="19"/>
                <w:szCs w:val="19"/>
              </w:rPr>
              <w:t xml:space="preserve">Criteria</w:t>
            </w:r>
          </w:p>
        </w:tc>
        <w:tc>
          <w:tcPr>
            <w:tcW w:type="dxa" w:w="1800"/>
            <w:shd w:fill="D9D9D9" w:color="auto" w:val="clear"/>
            <w:tcMar>
              <w:top w:type="dxa" w:w="60"/>
              <w:left w:type="dxa" w:w="100"/>
              <w:bottom w:type="dxa" w:w="60"/>
              <w:right w:type="dxa" w:w="100"/>
            </w:tcMar>
            <w:vAlign w:val="center"/>
          </w:tcPr>
          <w:p>
            <w:pPr>
              <w:spacing w:after="0"/>
            </w:pPr>
            <w:r>
              <w:rPr>
                <w:rFonts w:ascii="Arial" w:cs="Arial" w:eastAsia="Arial" w:hAnsi="Arial"/>
                <w:b/>
                <w:bCs/>
                <w:sz w:val="19"/>
                <w:szCs w:val="19"/>
              </w:rPr>
              <w:t xml:space="preserve">Response target</w:t>
            </w:r>
          </w:p>
        </w:tc>
        <w:tc>
          <w:tcPr>
            <w:tcW w:type="dxa" w:w="1860"/>
            <w:shd w:fill="D9D9D9" w:color="auto" w:val="clear"/>
            <w:tcMar>
              <w:top w:type="dxa" w:w="60"/>
              <w:left w:type="dxa" w:w="100"/>
              <w:bottom w:type="dxa" w:w="60"/>
              <w:right w:type="dxa" w:w="100"/>
            </w:tcMar>
            <w:vAlign w:val="center"/>
          </w:tcPr>
          <w:p>
            <w:pPr>
              <w:spacing w:after="0"/>
            </w:pPr>
            <w:r>
              <w:rPr>
                <w:rFonts w:ascii="Arial" w:cs="Arial" w:eastAsia="Arial" w:hAnsi="Arial"/>
                <w:b/>
                <w:bCs/>
                <w:sz w:val="19"/>
                <w:szCs w:val="19"/>
              </w:rPr>
              <w:t xml:space="preserve">Update frequency</w:t>
            </w:r>
          </w:p>
        </w:tc>
      </w:tr>
      <w:tr>
        <w:trPr>
          <w:tblHeader w:val="false"/>
        </w:trPr>
        <w:tc>
          <w:tcPr>
            <w:tcW w:type="dxa" w:w="1700"/>
            <w:tcMar>
              <w:top w:type="dxa" w:w="60"/>
              <w:left w:type="dxa" w:w="100"/>
              <w:bottom w:type="dxa" w:w="60"/>
              <w:right w:type="dxa" w:w="100"/>
            </w:tcMar>
            <w:vAlign w:val="center"/>
          </w:tcPr>
          <w:p>
            <w:pPr>
              <w:spacing w:after="0"/>
            </w:pPr>
            <w:r>
              <w:rPr>
                <w:rFonts w:ascii="Arial" w:cs="Arial" w:eastAsia="Arial" w:hAnsi="Arial"/>
                <w:b w:val="false"/>
                <w:bCs w:val="false"/>
                <w:sz w:val="19"/>
                <w:szCs w:val="19"/>
              </w:rPr>
              <w:t xml:space="preserve">P1 — Critical</w:t>
            </w:r>
          </w:p>
        </w:tc>
        <w:tc>
          <w:tcPr>
            <w:tcW w:type="dxa" w:w="4000"/>
            <w:tcMar>
              <w:top w:type="dxa" w:w="60"/>
              <w:left w:type="dxa" w:w="100"/>
              <w:bottom w:type="dxa" w:w="60"/>
              <w:right w:type="dxa" w:w="100"/>
            </w:tcMar>
            <w:vAlign w:val="center"/>
          </w:tcPr>
          <w:p>
            <w:pPr>
              <w:spacing w:after="0"/>
            </w:pPr>
            <w:r>
              <w:rPr>
                <w:rFonts w:ascii="Arial" w:cs="Arial" w:eastAsia="Arial" w:hAnsi="Arial"/>
                <w:b w:val="false"/>
                <w:bCs w:val="false"/>
                <w:sz w:val="19"/>
                <w:szCs w:val="19"/>
              </w:rPr>
              <w:t xml:space="preserve">Confirmed or likely compromise of Customer Data; platform-wide outage; ransomware</w:t>
            </w:r>
          </w:p>
        </w:tc>
        <w:tc>
          <w:tcPr>
            <w:tcW w:type="dxa" w:w="1800"/>
            <w:tcMar>
              <w:top w:type="dxa" w:w="60"/>
              <w:left w:type="dxa" w:w="100"/>
              <w:bottom w:type="dxa" w:w="60"/>
              <w:right w:type="dxa" w:w="100"/>
            </w:tcMar>
            <w:vAlign w:val="center"/>
          </w:tcPr>
          <w:p>
            <w:pPr>
              <w:spacing w:after="0"/>
            </w:pPr>
            <w:r>
              <w:rPr>
                <w:rFonts w:ascii="Arial" w:cs="Arial" w:eastAsia="Arial" w:hAnsi="Arial"/>
                <w:b w:val="false"/>
                <w:bCs w:val="false"/>
                <w:sz w:val="19"/>
                <w:szCs w:val="19"/>
              </w:rPr>
              <w:t xml:space="preserve">15 minutes</w:t>
            </w:r>
          </w:p>
        </w:tc>
        <w:tc>
          <w:tcPr>
            <w:tcW w:type="dxa" w:w="1860"/>
            <w:tcMar>
              <w:top w:type="dxa" w:w="60"/>
              <w:left w:type="dxa" w:w="100"/>
              <w:bottom w:type="dxa" w:w="60"/>
              <w:right w:type="dxa" w:w="100"/>
            </w:tcMar>
            <w:vAlign w:val="center"/>
          </w:tcPr>
          <w:p>
            <w:pPr>
              <w:spacing w:after="0"/>
            </w:pPr>
            <w:r>
              <w:rPr>
                <w:rFonts w:ascii="Arial" w:cs="Arial" w:eastAsia="Arial" w:hAnsi="Arial"/>
                <w:b w:val="false"/>
                <w:bCs w:val="false"/>
                <w:sz w:val="19"/>
                <w:szCs w:val="19"/>
              </w:rPr>
              <w:t xml:space="preserve">Hourly</w:t>
            </w:r>
          </w:p>
        </w:tc>
      </w:tr>
      <w:tr>
        <w:trPr>
          <w:tblHeader w:val="false"/>
        </w:trPr>
        <w:tc>
          <w:tcPr>
            <w:tcW w:type="dxa" w:w="1700"/>
            <w:tcMar>
              <w:top w:type="dxa" w:w="60"/>
              <w:left w:type="dxa" w:w="100"/>
              <w:bottom w:type="dxa" w:w="60"/>
              <w:right w:type="dxa" w:w="100"/>
            </w:tcMar>
            <w:vAlign w:val="center"/>
          </w:tcPr>
          <w:p>
            <w:pPr>
              <w:spacing w:after="0"/>
            </w:pPr>
            <w:r>
              <w:rPr>
                <w:rFonts w:ascii="Arial" w:cs="Arial" w:eastAsia="Arial" w:hAnsi="Arial"/>
                <w:b w:val="false"/>
                <w:bCs w:val="false"/>
                <w:sz w:val="19"/>
                <w:szCs w:val="19"/>
              </w:rPr>
              <w:t xml:space="preserve">P2 — High</w:t>
            </w:r>
          </w:p>
        </w:tc>
        <w:tc>
          <w:tcPr>
            <w:tcW w:type="dxa" w:w="4000"/>
            <w:tcMar>
              <w:top w:type="dxa" w:w="60"/>
              <w:left w:type="dxa" w:w="100"/>
              <w:bottom w:type="dxa" w:w="60"/>
              <w:right w:type="dxa" w:w="100"/>
            </w:tcMar>
            <w:vAlign w:val="center"/>
          </w:tcPr>
          <w:p>
            <w:pPr>
              <w:spacing w:after="0"/>
            </w:pPr>
            <w:r>
              <w:rPr>
                <w:rFonts w:ascii="Arial" w:cs="Arial" w:eastAsia="Arial" w:hAnsi="Arial"/>
                <w:b w:val="false"/>
                <w:bCs w:val="false"/>
                <w:sz w:val="19"/>
                <w:szCs w:val="19"/>
              </w:rPr>
              <w:t xml:space="preserve">Compromise of internal systems; single-tenant impact; significant service degradation</w:t>
            </w:r>
          </w:p>
        </w:tc>
        <w:tc>
          <w:tcPr>
            <w:tcW w:type="dxa" w:w="1800"/>
            <w:tcMar>
              <w:top w:type="dxa" w:w="60"/>
              <w:left w:type="dxa" w:w="100"/>
              <w:bottom w:type="dxa" w:w="60"/>
              <w:right w:type="dxa" w:w="100"/>
            </w:tcMar>
            <w:vAlign w:val="center"/>
          </w:tcPr>
          <w:p>
            <w:pPr>
              <w:spacing w:after="0"/>
            </w:pPr>
            <w:r>
              <w:rPr>
                <w:rFonts w:ascii="Arial" w:cs="Arial" w:eastAsia="Arial" w:hAnsi="Arial"/>
                <w:b w:val="false"/>
                <w:bCs w:val="false"/>
                <w:sz w:val="19"/>
                <w:szCs w:val="19"/>
              </w:rPr>
              <w:t xml:space="preserve">1 hour</w:t>
            </w:r>
          </w:p>
        </w:tc>
        <w:tc>
          <w:tcPr>
            <w:tcW w:type="dxa" w:w="1860"/>
            <w:tcMar>
              <w:top w:type="dxa" w:w="60"/>
              <w:left w:type="dxa" w:w="100"/>
              <w:bottom w:type="dxa" w:w="60"/>
              <w:right w:type="dxa" w:w="100"/>
            </w:tcMar>
            <w:vAlign w:val="center"/>
          </w:tcPr>
          <w:p>
            <w:pPr>
              <w:spacing w:after="0"/>
            </w:pPr>
            <w:r>
              <w:rPr>
                <w:rFonts w:ascii="Arial" w:cs="Arial" w:eastAsia="Arial" w:hAnsi="Arial"/>
                <w:b w:val="false"/>
                <w:bCs w:val="false"/>
                <w:sz w:val="19"/>
                <w:szCs w:val="19"/>
              </w:rPr>
              <w:t xml:space="preserve">Every 4 hours</w:t>
            </w:r>
          </w:p>
        </w:tc>
      </w:tr>
      <w:tr>
        <w:trPr>
          <w:tblHeader w:val="false"/>
        </w:trPr>
        <w:tc>
          <w:tcPr>
            <w:tcW w:type="dxa" w:w="1700"/>
            <w:tcMar>
              <w:top w:type="dxa" w:w="60"/>
              <w:left w:type="dxa" w:w="100"/>
              <w:bottom w:type="dxa" w:w="60"/>
              <w:right w:type="dxa" w:w="100"/>
            </w:tcMar>
            <w:vAlign w:val="center"/>
          </w:tcPr>
          <w:p>
            <w:pPr>
              <w:spacing w:after="0"/>
            </w:pPr>
            <w:r>
              <w:rPr>
                <w:rFonts w:ascii="Arial" w:cs="Arial" w:eastAsia="Arial" w:hAnsi="Arial"/>
                <w:b w:val="false"/>
                <w:bCs w:val="false"/>
                <w:sz w:val="19"/>
                <w:szCs w:val="19"/>
              </w:rPr>
              <w:t xml:space="preserve">P3 — Medium</w:t>
            </w:r>
          </w:p>
        </w:tc>
        <w:tc>
          <w:tcPr>
            <w:tcW w:type="dxa" w:w="4000"/>
            <w:tcMar>
              <w:top w:type="dxa" w:w="60"/>
              <w:left w:type="dxa" w:w="100"/>
              <w:bottom w:type="dxa" w:w="60"/>
              <w:right w:type="dxa" w:w="100"/>
            </w:tcMar>
            <w:vAlign w:val="center"/>
          </w:tcPr>
          <w:p>
            <w:pPr>
              <w:spacing w:after="0"/>
            </w:pPr>
            <w:r>
              <w:rPr>
                <w:rFonts w:ascii="Arial" w:cs="Arial" w:eastAsia="Arial" w:hAnsi="Arial"/>
                <w:b w:val="false"/>
                <w:bCs w:val="false"/>
                <w:sz w:val="19"/>
                <w:szCs w:val="19"/>
              </w:rPr>
              <w:t xml:space="preserve">Contained malware; policy violation with limited impact</w:t>
            </w:r>
          </w:p>
        </w:tc>
        <w:tc>
          <w:tcPr>
            <w:tcW w:type="dxa" w:w="1800"/>
            <w:tcMar>
              <w:top w:type="dxa" w:w="60"/>
              <w:left w:type="dxa" w:w="100"/>
              <w:bottom w:type="dxa" w:w="60"/>
              <w:right w:type="dxa" w:w="100"/>
            </w:tcMar>
            <w:vAlign w:val="center"/>
          </w:tcPr>
          <w:p>
            <w:pPr>
              <w:spacing w:after="0"/>
            </w:pPr>
            <w:r>
              <w:rPr>
                <w:rFonts w:ascii="Arial" w:cs="Arial" w:eastAsia="Arial" w:hAnsi="Arial"/>
                <w:b w:val="false"/>
                <w:bCs w:val="false"/>
                <w:sz w:val="19"/>
                <w:szCs w:val="19"/>
              </w:rPr>
              <w:t xml:space="preserve">1 business day</w:t>
            </w:r>
          </w:p>
        </w:tc>
        <w:tc>
          <w:tcPr>
            <w:tcW w:type="dxa" w:w="1860"/>
            <w:tcMar>
              <w:top w:type="dxa" w:w="60"/>
              <w:left w:type="dxa" w:w="100"/>
              <w:bottom w:type="dxa" w:w="60"/>
              <w:right w:type="dxa" w:w="100"/>
            </w:tcMar>
            <w:vAlign w:val="center"/>
          </w:tcPr>
          <w:p>
            <w:pPr>
              <w:spacing w:after="0"/>
            </w:pPr>
            <w:r>
              <w:rPr>
                <w:rFonts w:ascii="Arial" w:cs="Arial" w:eastAsia="Arial" w:hAnsi="Arial"/>
                <w:b w:val="false"/>
                <w:bCs w:val="false"/>
                <w:sz w:val="19"/>
                <w:szCs w:val="19"/>
              </w:rPr>
              <w:t xml:space="preserve">Daily</w:t>
            </w:r>
          </w:p>
        </w:tc>
      </w:tr>
      <w:tr>
        <w:trPr>
          <w:tblHeader w:val="false"/>
        </w:trPr>
        <w:tc>
          <w:tcPr>
            <w:tcW w:type="dxa" w:w="1700"/>
            <w:tcMar>
              <w:top w:type="dxa" w:w="60"/>
              <w:left w:type="dxa" w:w="100"/>
              <w:bottom w:type="dxa" w:w="60"/>
              <w:right w:type="dxa" w:w="100"/>
            </w:tcMar>
            <w:vAlign w:val="center"/>
          </w:tcPr>
          <w:p>
            <w:pPr>
              <w:spacing w:after="0"/>
            </w:pPr>
            <w:r>
              <w:rPr>
                <w:rFonts w:ascii="Arial" w:cs="Arial" w:eastAsia="Arial" w:hAnsi="Arial"/>
                <w:b w:val="false"/>
                <w:bCs w:val="false"/>
                <w:sz w:val="19"/>
                <w:szCs w:val="19"/>
              </w:rPr>
              <w:t xml:space="preserve">P4 — Low</w:t>
            </w:r>
          </w:p>
        </w:tc>
        <w:tc>
          <w:tcPr>
            <w:tcW w:type="dxa" w:w="4000"/>
            <w:tcMar>
              <w:top w:type="dxa" w:w="60"/>
              <w:left w:type="dxa" w:w="100"/>
              <w:bottom w:type="dxa" w:w="60"/>
              <w:right w:type="dxa" w:w="100"/>
            </w:tcMar>
            <w:vAlign w:val="center"/>
          </w:tcPr>
          <w:p>
            <w:pPr>
              <w:spacing w:after="0"/>
            </w:pPr>
            <w:r>
              <w:rPr>
                <w:rFonts w:ascii="Arial" w:cs="Arial" w:eastAsia="Arial" w:hAnsi="Arial"/>
                <w:b w:val="false"/>
                <w:bCs w:val="false"/>
                <w:sz w:val="19"/>
                <w:szCs w:val="19"/>
              </w:rPr>
              <w:t xml:space="preserve">Security events requiring follow-up without impact</w:t>
            </w:r>
          </w:p>
        </w:tc>
        <w:tc>
          <w:tcPr>
            <w:tcW w:type="dxa" w:w="1800"/>
            <w:tcMar>
              <w:top w:type="dxa" w:w="60"/>
              <w:left w:type="dxa" w:w="100"/>
              <w:bottom w:type="dxa" w:w="60"/>
              <w:right w:type="dxa" w:w="100"/>
            </w:tcMar>
            <w:vAlign w:val="center"/>
          </w:tcPr>
          <w:p>
            <w:pPr>
              <w:spacing w:after="0"/>
            </w:pPr>
            <w:r>
              <w:rPr>
                <w:rFonts w:ascii="Arial" w:cs="Arial" w:eastAsia="Arial" w:hAnsi="Arial"/>
                <w:b w:val="false"/>
                <w:bCs w:val="false"/>
                <w:sz w:val="19"/>
                <w:szCs w:val="19"/>
              </w:rPr>
              <w:t xml:space="preserve">5 business days</w:t>
            </w:r>
          </w:p>
        </w:tc>
        <w:tc>
          <w:tcPr>
            <w:tcW w:type="dxa" w:w="1860"/>
            <w:tcMar>
              <w:top w:type="dxa" w:w="60"/>
              <w:left w:type="dxa" w:w="100"/>
              <w:bottom w:type="dxa" w:w="60"/>
              <w:right w:type="dxa" w:w="100"/>
            </w:tcMar>
            <w:vAlign w:val="center"/>
          </w:tcPr>
          <w:p>
            <w:pPr>
              <w:spacing w:after="0"/>
            </w:pPr>
            <w:r>
              <w:rPr>
                <w:rFonts w:ascii="Arial" w:cs="Arial" w:eastAsia="Arial" w:hAnsi="Arial"/>
                <w:b w:val="false"/>
                <w:bCs w:val="false"/>
                <w:sz w:val="19"/>
                <w:szCs w:val="19"/>
              </w:rPr>
              <w:t xml:space="preserve">On closure</w:t>
            </w:r>
          </w:p>
        </w:tc>
      </w:tr>
    </w:tbl>
    <w:p>
      <w:pPr>
        <w:pStyle w:val="Heading1"/>
        <w:spacing w:after="140" w:before="320"/>
      </w:pPr>
      <w:r>
        <w:rPr>
          <w:rFonts w:ascii="Arial" w:cs="Arial" w:eastAsia="Arial" w:hAnsi="Arial"/>
        </w:rPr>
        <w:t xml:space="preserve">6. Incident response process</w:t>
      </w:r>
    </w:p>
    <w:p>
      <w:pPr>
        <w:pStyle w:val="ListParagraph"/>
        <w:numPr>
          <w:ilvl w:val="0"/>
          <w:numId w:val="2"/>
        </w:numPr>
        <w:spacing w:after="60"/>
      </w:pPr>
      <w:r>
        <w:rPr>
          <w:rFonts w:ascii="Arial" w:cs="Arial" w:eastAsia="Arial" w:hAnsi="Arial"/>
          <w:sz w:val="21"/>
          <w:szCs w:val="21"/>
        </w:rPr>
        <w:t xml:space="preserve">Detection and reporting — events are detected through monitoring alerts, personnel reports (security@veltrix.io), customer reports or third-party notifications.</w:t>
      </w:r>
    </w:p>
    <w:p>
      <w:pPr>
        <w:pStyle w:val="ListParagraph"/>
        <w:numPr>
          <w:ilvl w:val="0"/>
          <w:numId w:val="2"/>
        </w:numPr>
        <w:spacing w:after="60"/>
      </w:pPr>
      <w:r>
        <w:rPr>
          <w:rFonts w:ascii="Arial" w:cs="Arial" w:eastAsia="Arial" w:hAnsi="Arial"/>
          <w:sz w:val="21"/>
          <w:szCs w:val="21"/>
        </w:rPr>
        <w:t xml:space="preserve">Triage — the on-call engineer validates the event and escalates to the Incident Manager where a security incident is suspected.</w:t>
      </w:r>
    </w:p>
    <w:p>
      <w:pPr>
        <w:pStyle w:val="ListParagraph"/>
        <w:numPr>
          <w:ilvl w:val="0"/>
          <w:numId w:val="2"/>
        </w:numPr>
        <w:spacing w:after="60"/>
      </w:pPr>
      <w:r>
        <w:rPr>
          <w:rFonts w:ascii="Arial" w:cs="Arial" w:eastAsia="Arial" w:hAnsi="Arial"/>
          <w:sz w:val="21"/>
          <w:szCs w:val="21"/>
        </w:rPr>
        <w:t xml:space="preserve">Classification — the Incident Manager assigns a priority under section 5 and opens an incident record.</w:t>
      </w:r>
    </w:p>
    <w:p>
      <w:pPr>
        <w:pStyle w:val="ListParagraph"/>
        <w:numPr>
          <w:ilvl w:val="0"/>
          <w:numId w:val="2"/>
        </w:numPr>
        <w:spacing w:after="60"/>
      </w:pPr>
      <w:r>
        <w:rPr>
          <w:rFonts w:ascii="Arial" w:cs="Arial" w:eastAsia="Arial" w:hAnsi="Arial"/>
          <w:sz w:val="21"/>
          <w:szCs w:val="21"/>
        </w:rPr>
        <w:t xml:space="preserve">Containment — affected systems are isolated; credentials rotated; malicious access revoked. Evidence is preserved before remediation where practicable.</w:t>
      </w:r>
    </w:p>
    <w:p>
      <w:pPr>
        <w:pStyle w:val="ListParagraph"/>
        <w:numPr>
          <w:ilvl w:val="0"/>
          <w:numId w:val="2"/>
        </w:numPr>
        <w:spacing w:after="60"/>
      </w:pPr>
      <w:r>
        <w:rPr>
          <w:rFonts w:ascii="Arial" w:cs="Arial" w:eastAsia="Arial" w:hAnsi="Arial"/>
          <w:sz w:val="21"/>
          <w:szCs w:val="21"/>
        </w:rPr>
        <w:t xml:space="preserve">Eradication and recovery — root cause removed; systems restored from known-good sources; enhanced monitoring for 30 days.</w:t>
      </w:r>
    </w:p>
    <w:p>
      <w:pPr>
        <w:pStyle w:val="ListParagraph"/>
        <w:numPr>
          <w:ilvl w:val="0"/>
          <w:numId w:val="2"/>
        </w:numPr>
        <w:spacing w:after="60"/>
      </w:pPr>
      <w:r>
        <w:rPr>
          <w:rFonts w:ascii="Arial" w:cs="Arial" w:eastAsia="Arial" w:hAnsi="Arial"/>
          <w:sz w:val="21"/>
          <w:szCs w:val="21"/>
        </w:rPr>
        <w:t xml:space="preserve">Post-incident review — for P1 and P2 incidents, a review is held within 10 business days and actions tracked to closure.</w:t>
      </w:r>
    </w:p>
    <w:p>
      <w:pPr>
        <w:pStyle w:val="Heading1"/>
        <w:spacing w:after="140" w:before="320"/>
      </w:pPr>
      <w:r>
        <w:rPr>
          <w:rFonts w:ascii="Arial" w:cs="Arial" w:eastAsia="Arial" w:hAnsi="Arial"/>
        </w:rPr>
        <w:t xml:space="preserve">7. Communications</w:t>
      </w:r>
    </w:p>
    <w:p>
      <w:pPr>
        <w:pStyle w:val="Heading2"/>
        <w:spacing w:after="100" w:before="240"/>
      </w:pPr>
      <w:r>
        <w:rPr>
          <w:rFonts w:ascii="Arial" w:cs="Arial" w:eastAsia="Arial" w:hAnsi="Arial"/>
        </w:rPr>
        <w:t xml:space="preserve">7.1 Internal</w:t>
      </w:r>
    </w:p>
    <w:p>
      <w:pPr>
        <w:spacing w:after="120" w:before="0"/>
      </w:pPr>
      <w:r>
        <w:rPr>
          <w:rFonts w:ascii="Arial" w:cs="Arial" w:eastAsia="Arial" w:hAnsi="Arial"/>
          <w:sz w:val="21"/>
          <w:szCs w:val="21"/>
        </w:rPr>
        <w:t xml:space="preserve">The Incident Manager maintains an incident channel and issues updates at the frequency in section 5. P1 incidents are reported to the CEO immediately and to the Board at the next meeting.</w:t>
      </w:r>
    </w:p>
    <w:p>
      <w:pPr>
        <w:pStyle w:val="Heading2"/>
        <w:spacing w:after="100" w:before="240"/>
      </w:pPr>
      <w:r>
        <w:rPr>
          <w:rFonts w:ascii="Arial" w:cs="Arial" w:eastAsia="Arial" w:hAnsi="Arial"/>
        </w:rPr>
        <w:t xml:space="preserve">7.2 Customer notification</w:t>
      </w:r>
    </w:p>
    <w:p>
      <w:pPr>
        <w:spacing w:after="120" w:before="0"/>
      </w:pPr>
      <w:r>
        <w:rPr>
          <w:rFonts w:ascii="Arial" w:cs="Arial" w:eastAsia="Arial" w:hAnsi="Arial"/>
          <w:sz w:val="21"/>
          <w:szCs w:val="21"/>
        </w:rPr>
        <w:t xml:space="preserve">Where a security incident is confirmed to affect Customer Data, Veltrix notifies the affected customers' designated security contacts within 72 hours of confirmation, and in any event within the timeframe required by the customer contract where that contract specifies a shorter period and the Incident Manager has been made aware of it. The notification includes the nature of the incident, the categories and approximate volume of data affected, containment measures taken, and a point of contact. Follow-up reports are issued as the investigation progresses and a final report is provided within 30 days of closure.</w:t>
      </w:r>
    </w:p>
    <w:p>
      <w:pPr>
        <w:pStyle w:val="Heading2"/>
        <w:spacing w:after="100" w:before="240"/>
      </w:pPr>
      <w:r>
        <w:rPr>
          <w:rFonts w:ascii="Arial" w:cs="Arial" w:eastAsia="Arial" w:hAnsi="Arial"/>
        </w:rPr>
        <w:t xml:space="preserve">7.3 Regulatory notification</w:t>
      </w:r>
    </w:p>
    <w:p>
      <w:pPr>
        <w:spacing w:after="120" w:before="0"/>
      </w:pPr>
      <w:r>
        <w:rPr>
          <w:rFonts w:ascii="Arial" w:cs="Arial" w:eastAsia="Arial" w:hAnsi="Arial"/>
          <w:sz w:val="21"/>
          <w:szCs w:val="21"/>
        </w:rPr>
        <w:t xml:space="preserve">Where Veltrix is a data controller, the Data Protection Officer notifies the Personal Data Protection Commission (Singapore) within 3 calendar days of assessing that a breach is notifiable. Where Veltrix acts as a data processor, notification to regulators is the responsibility of the customer; Veltrix provides the information required to support the customer's notification.</w:t>
      </w:r>
    </w:p>
    <w:p>
      <w:pPr>
        <w:pStyle w:val="Heading2"/>
        <w:spacing w:after="100" w:before="240"/>
      </w:pPr>
      <w:r>
        <w:rPr>
          <w:rFonts w:ascii="Arial" w:cs="Arial" w:eastAsia="Arial" w:hAnsi="Arial"/>
        </w:rPr>
        <w:t xml:space="preserve">7.4 Subprocessors</w:t>
      </w:r>
    </w:p>
    <w:p>
      <w:pPr>
        <w:spacing w:after="120" w:before="0"/>
      </w:pPr>
      <w:r>
        <w:rPr>
          <w:rFonts w:ascii="Arial" w:cs="Arial" w:eastAsia="Arial" w:hAnsi="Arial"/>
          <w:sz w:val="21"/>
          <w:szCs w:val="21"/>
        </w:rPr>
        <w:t xml:space="preserve">Subprocessor contracts require the subprocessor to notify Veltrix of incidents affecting Customer Data without undue delay. Such notifications are handled under this policy from the time of receipt.</w:t>
      </w:r>
    </w:p>
    <w:p>
      <w:pPr>
        <w:pStyle w:val="Heading1"/>
        <w:spacing w:after="140" w:before="320"/>
      </w:pPr>
      <w:r>
        <w:rPr>
          <w:rFonts w:ascii="Arial" w:cs="Arial" w:eastAsia="Arial" w:hAnsi="Arial"/>
        </w:rPr>
        <w:t xml:space="preserve">8. Testing and readiness</w:t>
      </w:r>
    </w:p>
    <w:p>
      <w:pPr>
        <w:spacing w:after="120" w:before="0"/>
      </w:pPr>
      <w:r>
        <w:rPr>
          <w:rFonts w:ascii="Arial" w:cs="Arial" w:eastAsia="Arial" w:hAnsi="Arial"/>
          <w:sz w:val="21"/>
          <w:szCs w:val="21"/>
        </w:rPr>
        <w:t xml:space="preserve">The incident response process is exercised through tabletop simulations as resources permit. The most recent tabletop exercise was held on 8 March 2024 (scenario: ransomware in the corporate environment). Lessons learned from live incidents are incorporated at the annual policy review.</w:t>
      </w:r>
    </w:p>
    <w:p>
      <w:pPr>
        <w:pStyle w:val="Heading1"/>
        <w:spacing w:after="140" w:before="320"/>
      </w:pPr>
      <w:r>
        <w:rPr>
          <w:rFonts w:ascii="Arial" w:cs="Arial" w:eastAsia="Arial" w:hAnsi="Arial"/>
        </w:rPr>
        <w:t xml:space="preserve">9. Records</w:t>
      </w:r>
    </w:p>
    <w:p>
      <w:pPr>
        <w:spacing w:after="120" w:before="0"/>
      </w:pPr>
      <w:r>
        <w:rPr>
          <w:rFonts w:ascii="Arial" w:cs="Arial" w:eastAsia="Arial" w:hAnsi="Arial"/>
          <w:sz w:val="21"/>
          <w:szCs w:val="21"/>
        </w:rPr>
        <w:t xml:space="preserve">Incident records, evidence, communications and post-incident reviews are retained for 3 years in the incident management system.</w:t>
      </w:r>
    </w:p>
    <w:p>
      <w:r>
        <w:br w:type="page"/>
      </w:r>
    </w:p>
    <w:p>
      <w:pPr>
        <w:pStyle w:val="Heading1"/>
        <w:spacing w:after="140" w:before="320"/>
      </w:pPr>
      <w:r>
        <w:rPr>
          <w:rFonts w:ascii="Arial" w:cs="Arial" w:eastAsia="Arial" w:hAnsi="Arial"/>
        </w:rPr>
        <w:t xml:space="preserve">Appendix A — Revision history</w:t>
      </w:r>
    </w:p>
    <w:tbl>
      <w:tblPr>
        <w:tblW w:type="dxa" w:w="9360"/>
        <w:tblBorders>
          <w:top w:val="single" w:color="A6A6A6" w:sz="4"/>
          <w:left w:val="single" w:color="A6A6A6" w:sz="4"/>
          <w:bottom w:val="single" w:color="A6A6A6" w:sz="4"/>
          <w:right w:val="single" w:color="A6A6A6" w:sz="4"/>
          <w:insideH w:val="single" w:color="A6A6A6" w:sz="4"/>
          <w:insideV w:val="single" w:color="A6A6A6" w:sz="4"/>
        </w:tblBorders>
      </w:tblPr>
      <w:tblGrid>
        <w:gridCol w:w="1100"/>
        <w:gridCol w:w="1700"/>
        <w:gridCol w:w="2200"/>
        <w:gridCol w:w="4360"/>
      </w:tblGrid>
      <w:tr>
        <w:trPr>
          <w:tblHeader/>
        </w:trPr>
        <w:tc>
          <w:tcPr>
            <w:tcW w:type="dxa" w:w="1100"/>
            <w:shd w:fill="D9D9D9" w:color="auto" w:val="clear"/>
            <w:tcMar>
              <w:top w:type="dxa" w:w="60"/>
              <w:left w:type="dxa" w:w="100"/>
              <w:bottom w:type="dxa" w:w="60"/>
              <w:right w:type="dxa" w:w="100"/>
            </w:tcMar>
            <w:vAlign w:val="center"/>
          </w:tcPr>
          <w:p>
            <w:pPr>
              <w:spacing w:after="0"/>
            </w:pPr>
            <w:r>
              <w:rPr>
                <w:rFonts w:ascii="Arial" w:cs="Arial" w:eastAsia="Arial" w:hAnsi="Arial"/>
                <w:b/>
                <w:bCs/>
                <w:sz w:val="19"/>
                <w:szCs w:val="19"/>
              </w:rPr>
              <w:t xml:space="preserve">Version</w:t>
            </w:r>
          </w:p>
        </w:tc>
        <w:tc>
          <w:tcPr>
            <w:tcW w:type="dxa" w:w="1700"/>
            <w:shd w:fill="D9D9D9" w:color="auto" w:val="clear"/>
            <w:tcMar>
              <w:top w:type="dxa" w:w="60"/>
              <w:left w:type="dxa" w:w="100"/>
              <w:bottom w:type="dxa" w:w="60"/>
              <w:right w:type="dxa" w:w="100"/>
            </w:tcMar>
            <w:vAlign w:val="center"/>
          </w:tcPr>
          <w:p>
            <w:pPr>
              <w:spacing w:after="0"/>
            </w:pPr>
            <w:r>
              <w:rPr>
                <w:rFonts w:ascii="Arial" w:cs="Arial" w:eastAsia="Arial" w:hAnsi="Arial"/>
                <w:b/>
                <w:bCs/>
                <w:sz w:val="19"/>
                <w:szCs w:val="19"/>
              </w:rPr>
              <w:t xml:space="preserve">Date</w:t>
            </w:r>
          </w:p>
        </w:tc>
        <w:tc>
          <w:tcPr>
            <w:tcW w:type="dxa" w:w="2200"/>
            <w:shd w:fill="D9D9D9" w:color="auto" w:val="clear"/>
            <w:tcMar>
              <w:top w:type="dxa" w:w="60"/>
              <w:left w:type="dxa" w:w="100"/>
              <w:bottom w:type="dxa" w:w="60"/>
              <w:right w:type="dxa" w:w="100"/>
            </w:tcMar>
            <w:vAlign w:val="center"/>
          </w:tcPr>
          <w:p>
            <w:pPr>
              <w:spacing w:after="0"/>
            </w:pPr>
            <w:r>
              <w:rPr>
                <w:rFonts w:ascii="Arial" w:cs="Arial" w:eastAsia="Arial" w:hAnsi="Arial"/>
                <w:b/>
                <w:bCs/>
                <w:sz w:val="19"/>
                <w:szCs w:val="19"/>
              </w:rPr>
              <w:t xml:space="preserve">Author</w:t>
            </w:r>
          </w:p>
        </w:tc>
        <w:tc>
          <w:tcPr>
            <w:tcW w:type="dxa" w:w="4360"/>
            <w:shd w:fill="D9D9D9" w:color="auto" w:val="clear"/>
            <w:tcMar>
              <w:top w:type="dxa" w:w="60"/>
              <w:left w:type="dxa" w:w="100"/>
              <w:bottom w:type="dxa" w:w="60"/>
              <w:right w:type="dxa" w:w="100"/>
            </w:tcMar>
            <w:vAlign w:val="center"/>
          </w:tcPr>
          <w:p>
            <w:pPr>
              <w:spacing w:after="0"/>
            </w:pPr>
            <w:r>
              <w:rPr>
                <w:rFonts w:ascii="Arial" w:cs="Arial" w:eastAsia="Arial" w:hAnsi="Arial"/>
                <w:b/>
                <w:bCs/>
                <w:sz w:val="19"/>
                <w:szCs w:val="19"/>
              </w:rPr>
              <w:t xml:space="preserve">Summary of changes</w:t>
            </w:r>
          </w:p>
        </w:tc>
      </w:tr>
      <w:tr>
        <w:trPr>
          <w:tblHeader w:val="false"/>
        </w:trPr>
        <w:tc>
          <w:tcPr>
            <w:tcW w:type="dxa" w:w="1100"/>
            <w:tcMar>
              <w:top w:type="dxa" w:w="60"/>
              <w:left w:type="dxa" w:w="100"/>
              <w:bottom w:type="dxa" w:w="60"/>
              <w:right w:type="dxa" w:w="100"/>
            </w:tcMar>
            <w:vAlign w:val="center"/>
          </w:tcPr>
          <w:p>
            <w:pPr>
              <w:spacing w:after="0"/>
            </w:pPr>
            <w:r>
              <w:rPr>
                <w:rFonts w:ascii="Arial" w:cs="Arial" w:eastAsia="Arial" w:hAnsi="Arial"/>
                <w:b w:val="false"/>
                <w:bCs w:val="false"/>
                <w:sz w:val="19"/>
                <w:szCs w:val="19"/>
              </w:rPr>
              <w:t xml:space="preserve">1.0</w:t>
            </w:r>
          </w:p>
        </w:tc>
        <w:tc>
          <w:tcPr>
            <w:tcW w:type="dxa" w:w="1700"/>
            <w:tcMar>
              <w:top w:type="dxa" w:w="60"/>
              <w:left w:type="dxa" w:w="100"/>
              <w:bottom w:type="dxa" w:w="60"/>
              <w:right w:type="dxa" w:w="100"/>
            </w:tcMar>
            <w:vAlign w:val="center"/>
          </w:tcPr>
          <w:p>
            <w:pPr>
              <w:spacing w:after="0"/>
            </w:pPr>
            <w:r>
              <w:rPr>
                <w:rFonts w:ascii="Arial" w:cs="Arial" w:eastAsia="Arial" w:hAnsi="Arial"/>
                <w:b w:val="false"/>
                <w:bCs w:val="false"/>
                <w:sz w:val="19"/>
                <w:szCs w:val="19"/>
              </w:rPr>
              <w:t xml:space="preserve">2 August 2021</w:t>
            </w:r>
          </w:p>
        </w:tc>
        <w:tc>
          <w:tcPr>
            <w:tcW w:type="dxa" w:w="2200"/>
            <w:tcMar>
              <w:top w:type="dxa" w:w="60"/>
              <w:left w:type="dxa" w:w="100"/>
              <w:bottom w:type="dxa" w:w="60"/>
              <w:right w:type="dxa" w:w="100"/>
            </w:tcMar>
            <w:vAlign w:val="center"/>
          </w:tcPr>
          <w:p>
            <w:pPr>
              <w:spacing w:after="0"/>
            </w:pPr>
            <w:r>
              <w:rPr>
                <w:rFonts w:ascii="Arial" w:cs="Arial" w:eastAsia="Arial" w:hAnsi="Arial"/>
                <w:b w:val="false"/>
                <w:bCs w:val="false"/>
                <w:sz w:val="19"/>
                <w:szCs w:val="19"/>
              </w:rPr>
              <w:t xml:space="preserve">M. Lim</w:t>
            </w:r>
          </w:p>
        </w:tc>
        <w:tc>
          <w:tcPr>
            <w:tcW w:type="dxa" w:w="4360"/>
            <w:tcMar>
              <w:top w:type="dxa" w:w="60"/>
              <w:left w:type="dxa" w:w="100"/>
              <w:bottom w:type="dxa" w:w="60"/>
              <w:right w:type="dxa" w:w="100"/>
            </w:tcMar>
            <w:vAlign w:val="center"/>
          </w:tcPr>
          <w:p>
            <w:pPr>
              <w:spacing w:after="0"/>
            </w:pPr>
            <w:r>
              <w:rPr>
                <w:rFonts w:ascii="Arial" w:cs="Arial" w:eastAsia="Arial" w:hAnsi="Arial"/>
                <w:b w:val="false"/>
                <w:bCs w:val="false"/>
                <w:sz w:val="19"/>
                <w:szCs w:val="19"/>
              </w:rPr>
              <w:t xml:space="preserve">Initial issue</w:t>
            </w:r>
          </w:p>
        </w:tc>
      </w:tr>
      <w:tr>
        <w:trPr>
          <w:tblHeader w:val="false"/>
        </w:trPr>
        <w:tc>
          <w:tcPr>
            <w:tcW w:type="dxa" w:w="1100"/>
            <w:tcMar>
              <w:top w:type="dxa" w:w="60"/>
              <w:left w:type="dxa" w:w="100"/>
              <w:bottom w:type="dxa" w:w="60"/>
              <w:right w:type="dxa" w:w="100"/>
            </w:tcMar>
            <w:vAlign w:val="center"/>
          </w:tcPr>
          <w:p>
            <w:pPr>
              <w:spacing w:after="0"/>
            </w:pPr>
            <w:r>
              <w:rPr>
                <w:rFonts w:ascii="Arial" w:cs="Arial" w:eastAsia="Arial" w:hAnsi="Arial"/>
                <w:b w:val="false"/>
                <w:bCs w:val="false"/>
                <w:sz w:val="19"/>
                <w:szCs w:val="19"/>
              </w:rPr>
              <w:t xml:space="preserve">1.2</w:t>
            </w:r>
          </w:p>
        </w:tc>
        <w:tc>
          <w:tcPr>
            <w:tcW w:type="dxa" w:w="1700"/>
            <w:tcMar>
              <w:top w:type="dxa" w:w="60"/>
              <w:left w:type="dxa" w:w="100"/>
              <w:bottom w:type="dxa" w:w="60"/>
              <w:right w:type="dxa" w:w="100"/>
            </w:tcMar>
            <w:vAlign w:val="center"/>
          </w:tcPr>
          <w:p>
            <w:pPr>
              <w:spacing w:after="0"/>
            </w:pPr>
            <w:r>
              <w:rPr>
                <w:rFonts w:ascii="Arial" w:cs="Arial" w:eastAsia="Arial" w:hAnsi="Arial"/>
                <w:b w:val="false"/>
                <w:bCs w:val="false"/>
                <w:sz w:val="19"/>
                <w:szCs w:val="19"/>
              </w:rPr>
              <w:t xml:space="preserve">9 September 2023</w:t>
            </w:r>
          </w:p>
        </w:tc>
        <w:tc>
          <w:tcPr>
            <w:tcW w:type="dxa" w:w="2200"/>
            <w:tcMar>
              <w:top w:type="dxa" w:w="60"/>
              <w:left w:type="dxa" w:w="100"/>
              <w:bottom w:type="dxa" w:w="60"/>
              <w:right w:type="dxa" w:w="100"/>
            </w:tcMar>
            <w:vAlign w:val="center"/>
          </w:tcPr>
          <w:p>
            <w:pPr>
              <w:spacing w:after="0"/>
            </w:pPr>
            <w:r>
              <w:rPr>
                <w:rFonts w:ascii="Arial" w:cs="Arial" w:eastAsia="Arial" w:hAnsi="Arial"/>
                <w:b w:val="false"/>
                <w:bCs w:val="false"/>
                <w:sz w:val="19"/>
                <w:szCs w:val="19"/>
              </w:rPr>
              <w:t xml:space="preserve">M. Lim</w:t>
            </w:r>
          </w:p>
        </w:tc>
        <w:tc>
          <w:tcPr>
            <w:tcW w:type="dxa" w:w="4360"/>
            <w:tcMar>
              <w:top w:type="dxa" w:w="60"/>
              <w:left w:type="dxa" w:w="100"/>
              <w:bottom w:type="dxa" w:w="60"/>
              <w:right w:type="dxa" w:w="100"/>
            </w:tcMar>
            <w:vAlign w:val="center"/>
          </w:tcPr>
          <w:p>
            <w:pPr>
              <w:spacing w:after="0"/>
            </w:pPr>
            <w:r>
              <w:rPr>
                <w:rFonts w:ascii="Arial" w:cs="Arial" w:eastAsia="Arial" w:hAnsi="Arial"/>
                <w:b w:val="false"/>
                <w:bCs w:val="false"/>
                <w:sz w:val="19"/>
                <w:szCs w:val="19"/>
              </w:rPr>
              <w:t xml:space="preserve">Added severity matrix</w:t>
            </w:r>
          </w:p>
        </w:tc>
      </w:tr>
      <w:tr>
        <w:trPr>
          <w:tblHeader w:val="false"/>
        </w:trPr>
        <w:tc>
          <w:tcPr>
            <w:tcW w:type="dxa" w:w="1100"/>
            <w:tcMar>
              <w:top w:type="dxa" w:w="60"/>
              <w:left w:type="dxa" w:w="100"/>
              <w:bottom w:type="dxa" w:w="60"/>
              <w:right w:type="dxa" w:w="100"/>
            </w:tcMar>
            <w:vAlign w:val="center"/>
          </w:tcPr>
          <w:p>
            <w:pPr>
              <w:spacing w:after="0"/>
            </w:pPr>
            <w:r>
              <w:rPr>
                <w:rFonts w:ascii="Arial" w:cs="Arial" w:eastAsia="Arial" w:hAnsi="Arial"/>
                <w:b w:val="false"/>
                <w:bCs w:val="false"/>
                <w:sz w:val="19"/>
                <w:szCs w:val="19"/>
              </w:rPr>
              <w:t xml:space="preserve">1.3</w:t>
            </w:r>
          </w:p>
        </w:tc>
        <w:tc>
          <w:tcPr>
            <w:tcW w:type="dxa" w:w="1700"/>
            <w:tcMar>
              <w:top w:type="dxa" w:w="60"/>
              <w:left w:type="dxa" w:w="100"/>
              <w:bottom w:type="dxa" w:w="60"/>
              <w:right w:type="dxa" w:w="100"/>
            </w:tcMar>
            <w:vAlign w:val="center"/>
          </w:tcPr>
          <w:p>
            <w:pPr>
              <w:spacing w:after="0"/>
            </w:pPr>
            <w:r>
              <w:rPr>
                <w:rFonts w:ascii="Arial" w:cs="Arial" w:eastAsia="Arial" w:hAnsi="Arial"/>
                <w:b w:val="false"/>
                <w:bCs w:val="false"/>
                <w:sz w:val="19"/>
                <w:szCs w:val="19"/>
              </w:rPr>
              <w:t xml:space="preserve">3 July 2025</w:t>
            </w:r>
          </w:p>
        </w:tc>
        <w:tc>
          <w:tcPr>
            <w:tcW w:type="dxa" w:w="2200"/>
            <w:tcMar>
              <w:top w:type="dxa" w:w="60"/>
              <w:left w:type="dxa" w:w="100"/>
              <w:bottom w:type="dxa" w:w="60"/>
              <w:right w:type="dxa" w:w="100"/>
            </w:tcMar>
            <w:vAlign w:val="center"/>
          </w:tcPr>
          <w:p>
            <w:pPr>
              <w:spacing w:after="0"/>
            </w:pPr>
            <w:r>
              <w:rPr>
                <w:rFonts w:ascii="Arial" w:cs="Arial" w:eastAsia="Arial" w:hAnsi="Arial"/>
                <w:b w:val="false"/>
                <w:bCs w:val="false"/>
                <w:sz w:val="19"/>
                <w:szCs w:val="19"/>
              </w:rPr>
              <w:t xml:space="preserve">M. Lim</w:t>
            </w:r>
          </w:p>
        </w:tc>
        <w:tc>
          <w:tcPr>
            <w:tcW w:type="dxa" w:w="4360"/>
            <w:tcMar>
              <w:top w:type="dxa" w:w="60"/>
              <w:left w:type="dxa" w:w="100"/>
              <w:bottom w:type="dxa" w:w="60"/>
              <w:right w:type="dxa" w:w="100"/>
            </w:tcMar>
            <w:vAlign w:val="center"/>
          </w:tcPr>
          <w:p>
            <w:pPr>
              <w:spacing w:after="0"/>
            </w:pPr>
            <w:r>
              <w:rPr>
                <w:rFonts w:ascii="Arial" w:cs="Arial" w:eastAsia="Arial" w:hAnsi="Arial"/>
                <w:b w:val="false"/>
                <w:bCs w:val="false"/>
                <w:sz w:val="19"/>
                <w:szCs w:val="19"/>
              </w:rPr>
              <w:t xml:space="preserve">Added subprocessor notification requirements</w:t>
            </w:r>
          </w:p>
        </w:tc>
      </w:tr>
      <w:tr>
        <w:trPr>
          <w:tblHeader w:val="false"/>
        </w:trPr>
        <w:tc>
          <w:tcPr>
            <w:tcW w:type="dxa" w:w="1100"/>
            <w:tcMar>
              <w:top w:type="dxa" w:w="60"/>
              <w:left w:type="dxa" w:w="100"/>
              <w:bottom w:type="dxa" w:w="60"/>
              <w:right w:type="dxa" w:w="100"/>
            </w:tcMar>
            <w:vAlign w:val="center"/>
          </w:tcPr>
          <w:p>
            <w:pPr>
              <w:spacing w:after="0"/>
            </w:pPr>
            <w:r>
              <w:rPr>
                <w:rFonts w:ascii="Arial" w:cs="Arial" w:eastAsia="Arial" w:hAnsi="Arial"/>
                <w:b w:val="false"/>
                <w:bCs w:val="false"/>
                <w:sz w:val="19"/>
                <w:szCs w:val="19"/>
              </w:rPr>
              <w:t xml:space="preserve">1.4</w:t>
            </w:r>
          </w:p>
        </w:tc>
        <w:tc>
          <w:tcPr>
            <w:tcW w:type="dxa" w:w="1700"/>
            <w:tcMar>
              <w:top w:type="dxa" w:w="60"/>
              <w:left w:type="dxa" w:w="100"/>
              <w:bottom w:type="dxa" w:w="60"/>
              <w:right w:type="dxa" w:w="100"/>
            </w:tcMar>
            <w:vAlign w:val="center"/>
          </w:tcPr>
          <w:p>
            <w:pPr>
              <w:spacing w:after="0"/>
            </w:pPr>
            <w:r>
              <w:rPr>
                <w:rFonts w:ascii="Arial" w:cs="Arial" w:eastAsia="Arial" w:hAnsi="Arial"/>
                <w:b w:val="false"/>
                <w:bCs w:val="false"/>
                <w:sz w:val="19"/>
                <w:szCs w:val="19"/>
              </w:rPr>
              <w:t xml:space="preserve">15 June 2026</w:t>
            </w:r>
          </w:p>
        </w:tc>
        <w:tc>
          <w:tcPr>
            <w:tcW w:type="dxa" w:w="2200"/>
            <w:tcMar>
              <w:top w:type="dxa" w:w="60"/>
              <w:left w:type="dxa" w:w="100"/>
              <w:bottom w:type="dxa" w:w="60"/>
              <w:right w:type="dxa" w:w="100"/>
            </w:tcMar>
            <w:vAlign w:val="center"/>
          </w:tcPr>
          <w:p>
            <w:pPr>
              <w:spacing w:after="0"/>
            </w:pPr>
            <w:r>
              <w:rPr>
                <w:rFonts w:ascii="Arial" w:cs="Arial" w:eastAsia="Arial" w:hAnsi="Arial"/>
                <w:b w:val="false"/>
                <w:bCs w:val="false"/>
                <w:sz w:val="19"/>
                <w:szCs w:val="19"/>
              </w:rPr>
              <w:t xml:space="preserve">M. Lim</w:t>
            </w:r>
          </w:p>
        </w:tc>
        <w:tc>
          <w:tcPr>
            <w:tcW w:type="dxa" w:w="4360"/>
            <w:tcMar>
              <w:top w:type="dxa" w:w="60"/>
              <w:left w:type="dxa" w:w="100"/>
              <w:bottom w:type="dxa" w:w="60"/>
              <w:right w:type="dxa" w:w="100"/>
            </w:tcMar>
            <w:vAlign w:val="center"/>
          </w:tcPr>
          <w:p>
            <w:pPr>
              <w:spacing w:after="0"/>
            </w:pPr>
            <w:r>
              <w:rPr>
                <w:rFonts w:ascii="Arial" w:cs="Arial" w:eastAsia="Arial" w:hAnsi="Arial"/>
                <w:b w:val="false"/>
                <w:bCs w:val="false"/>
                <w:sz w:val="19"/>
                <w:szCs w:val="19"/>
              </w:rPr>
              <w:t xml:space="preserve">Annual review; clarified customer notification trigger and content</w:t>
            </w:r>
          </w:p>
        </w:tc>
      </w:tr>
    </w:tbl>
    <w:sectPr>
      <w:headerReference w:type="default" r:id="rId7"/>
      <w:footerReference w:type="default" r:id="rId8"/>
      <w:pgSz w:w="11906" w:h="16838" w:orient="portrait"/>
      <w:pgMar w:top="1300" w:right="1300" w:bottom="1200" w:left="13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808080"/>
        <w:sz w:val="16"/>
        <w:szCs w:val="16"/>
      </w:rPr>
      <w:t xml:space="preserve">Veltrix Onboard Pte. Ltd. — Confidential — Provided to Northgate Bank (Asia) Limited under NDA</w:t>
    </w:r>
    <w:r>
      <w:rPr>
        <w:rFonts w:ascii="Arial" w:cs="Arial" w:eastAsia="Arial" w:hAnsi="Arial"/>
        <w:color w:val="808080"/>
        <w:sz w:val="16"/>
        <w:szCs w:val="16"/>
      </w:rPr>
      <w:t xml:space="preserve">   Page </w:t>
    </w:r>
    <w:r>
      <w:rPr>
        <w:rFonts w:ascii="Arial" w:cs="Arial" w:eastAsia="Arial" w:hAnsi="Arial"/>
        <w:color w:val="808080"/>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Arial" w:cs="Arial" w:eastAsia="Arial" w:hAnsi="Arial"/>
        <w:color w:val="808080"/>
        <w:sz w:val="16"/>
        <w:szCs w:val="16"/>
      </w:rPr>
      <w:t xml:space="preserve">Incident Response Policy — Confidential</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70"/>
      </w:pPr>
    </w:lvl>
  </w:abstractNum>
  <w:abstractNum w:abstractNumId="3" w15:restartNumberingAfterBreak="0">
    <w:multiLevelType w:val="hybridMultilevel"/>
    <w:lvl w:ilvl="0" w15:tentative="1">
      <w:start w:val="1"/>
      <w:numFmt w:val="decimal"/>
      <w:lvlText w:val="%1."/>
      <w:lvlJc w:val="left"/>
      <w:pPr>
        <w:ind w:left="540" w:hanging="270"/>
      </w:pPr>
    </w:lvl>
  </w:abstractNum>
  <w:num w:numId="1">
    <w:abstractNumId w:val="1"/>
    <w:lvlOverride w:ilvl="0">
      <w:startOverride w:val="1"/>
    </w:lvlOverride>
  </w:num>
  <w:num w:numId="2">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outlineLvl w:val="0"/>
    </w:pPr>
    <w:rPr>
      <w:rFonts w:ascii="Arial" w:cs="Arial" w:eastAsia="Arial" w:hAnsi="Arial"/>
      <w:b/>
      <w:bCs/>
      <w:color w:val="1F3A5F"/>
      <w:sz w:val="30"/>
      <w:szCs w:val="30"/>
    </w:rPr>
  </w:style>
  <w:style w:type="paragraph" w:styleId="Heading2">
    <w:name w:val="Heading 2"/>
    <w:basedOn w:val="Normal"/>
    <w:next w:val="Normal"/>
    <w:qFormat/>
    <w:pPr>
      <w:outlineLvl w:val="1"/>
    </w:pPr>
    <w:rPr>
      <w:rFonts w:ascii="Arial" w:cs="Arial" w:eastAsia="Arial" w:hAnsi="Arial"/>
      <w:b/>
      <w:bCs/>
      <w:color w:val="1F3A5F"/>
      <w:sz w:val="25"/>
      <w:szCs w:val="25"/>
    </w:rPr>
  </w:style>
  <w:style w:type="paragraph" w:styleId="Heading3">
    <w:name w:val="Heading 3"/>
    <w:basedOn w:val="Normal"/>
    <w:next w:val="Normal"/>
    <w:qFormat/>
    <w:pPr>
      <w:outlineLvl w:val="2"/>
    </w:pPr>
    <w:rPr>
      <w:rFonts w:ascii="Arial" w:cs="Arial" w:eastAsia="Arial" w:hAnsi="Arial"/>
      <w:b/>
      <w:bCs/>
      <w:color w:val="404040"/>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Incident Response Policy</dc:title>
  <dc:creator>Veltrix Onboard Pte. Ltd.</dc:creator>
  <cp:lastModifiedBy>Un-named</cp:lastModifiedBy>
  <cp:revision>1</cp:revision>
  <dcterms:created xsi:type="dcterms:W3CDTF">2026-09-02T00:26:23.688Z</dcterms:created>
  <dcterms:modified xsi:type="dcterms:W3CDTF">2026-09-02T00:26:23.688Z</dcterms:modified>
</cp:coreProperties>
</file>

<file path=docProps/custom.xml><?xml version="1.0" encoding="utf-8"?>
<Properties xmlns="http://schemas.openxmlformats.org/officeDocument/2006/custom-properties" xmlns:vt="http://schemas.openxmlformats.org/officeDocument/2006/docPropsVTypes"/>
</file>