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pPr>
      <w:r>
        <w:rPr>
          <w:rFonts w:ascii="Arial" w:cs="Arial" w:eastAsia="Arial" w:hAnsi="Arial"/>
          <w:b/>
          <w:bCs/>
          <w:color w:val="1F3A5F"/>
          <w:sz w:val="40"/>
          <w:szCs w:val="40"/>
        </w:rPr>
        <w:t xml:space="preserve">Business Continuity and Disaster Recovery Policy</w:t>
      </w:r>
    </w:p>
    <w:p>
      <w:pPr>
        <w:pBdr>
          <w:bottom w:val="single" w:color="1F3A5F" w:sz="8" w:space="6"/>
        </w:pBdr>
        <w:spacing w:after="400"/>
      </w:pPr>
      <w:r>
        <w:rPr>
          <w:rFonts w:ascii="Arial" w:cs="Arial" w:eastAsia="Arial" w:hAnsi="Arial"/>
          <w:color w:val="595959"/>
          <w:sz w:val="24"/>
          <w:szCs w:val="24"/>
        </w:rPr>
        <w:t xml:space="preserve">Veltrix Onboard Pte. Ltd. — VLX-POL-009 v2.1</w:t>
      </w:r>
    </w:p>
    <w:tbl>
      <w:tblPr>
        <w:tblW w:type="dxa" w:w="9360"/>
        <w:tblBorders>
          <w:top w:val="single" w:color="A6A6A6" w:sz="4"/>
          <w:left w:val="single" w:color="A6A6A6" w:sz="4"/>
          <w:bottom w:val="single" w:color="A6A6A6" w:sz="4"/>
          <w:right w:val="single" w:color="A6A6A6" w:sz="4"/>
          <w:insideH w:val="single" w:color="A6A6A6" w:sz="4"/>
          <w:insideV w:val="single" w:color="A6A6A6" w:sz="4"/>
        </w:tblBorders>
      </w:tblPr>
      <w:tblGrid>
        <w:gridCol w:w="2800"/>
        <w:gridCol w:w="6560"/>
      </w:tblGrid>
      <w:tr>
        <w:trPr>
          <w:tblHeader w:val="false"/>
        </w:trPr>
        <w:tc>
          <w:tcPr>
            <w:tcW w:type="dxa" w:w="2800"/>
            <w:shd w:fill="F2F2F2" w:color="auto" w:val="clear"/>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Document ID</w:t>
            </w:r>
          </w:p>
        </w:tc>
        <w:tc>
          <w:tcPr>
            <w:tcW w:type="dxa" w:w="656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VLX-POL-009</w:t>
            </w:r>
          </w:p>
        </w:tc>
      </w:tr>
      <w:tr>
        <w:trPr>
          <w:tblHeader w:val="false"/>
        </w:trPr>
        <w:tc>
          <w:tcPr>
            <w:tcW w:type="dxa" w:w="2800"/>
            <w:shd w:fill="F2F2F2" w:color="auto" w:val="clear"/>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Version</w:t>
            </w:r>
          </w:p>
        </w:tc>
        <w:tc>
          <w:tcPr>
            <w:tcW w:type="dxa" w:w="656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2.1</w:t>
            </w:r>
          </w:p>
        </w:tc>
      </w:tr>
      <w:tr>
        <w:trPr>
          <w:tblHeader w:val="false"/>
        </w:trPr>
        <w:tc>
          <w:tcPr>
            <w:tcW w:type="dxa" w:w="2800"/>
            <w:shd w:fill="F2F2F2" w:color="auto" w:val="clear"/>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Document owner</w:t>
            </w:r>
          </w:p>
        </w:tc>
        <w:tc>
          <w:tcPr>
            <w:tcW w:type="dxa" w:w="656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Chief Technology Officer (Priya Raman)</w:t>
            </w:r>
          </w:p>
        </w:tc>
      </w:tr>
      <w:tr>
        <w:trPr>
          <w:tblHeader w:val="false"/>
        </w:trPr>
        <w:tc>
          <w:tcPr>
            <w:tcW w:type="dxa" w:w="2800"/>
            <w:shd w:fill="F2F2F2" w:color="auto" w:val="clear"/>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Approved by</w:t>
            </w:r>
          </w:p>
        </w:tc>
        <w:tc>
          <w:tcPr>
            <w:tcW w:type="dxa" w:w="656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Chief Executive Officer (Daniel Koh)</w:t>
            </w:r>
          </w:p>
        </w:tc>
      </w:tr>
      <w:tr>
        <w:trPr>
          <w:tblHeader w:val="false"/>
        </w:trPr>
        <w:tc>
          <w:tcPr>
            <w:tcW w:type="dxa" w:w="2800"/>
            <w:shd w:fill="F2F2F2" w:color="auto" w:val="clear"/>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Classification</w:t>
            </w:r>
          </w:p>
        </w:tc>
        <w:tc>
          <w:tcPr>
            <w:tcW w:type="dxa" w:w="656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Internal — shareable with customers under NDA</w:t>
            </w:r>
          </w:p>
        </w:tc>
      </w:tr>
      <w:tr>
        <w:trPr>
          <w:tblHeader w:val="false"/>
        </w:trPr>
        <w:tc>
          <w:tcPr>
            <w:tcW w:type="dxa" w:w="2800"/>
            <w:shd w:fill="F2F2F2" w:color="auto" w:val="clear"/>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Effective date</w:t>
            </w:r>
          </w:p>
        </w:tc>
        <w:tc>
          <w:tcPr>
            <w:tcW w:type="dxa" w:w="656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10 January 2026</w:t>
            </w:r>
          </w:p>
        </w:tc>
      </w:tr>
      <w:tr>
        <w:trPr>
          <w:tblHeader w:val="false"/>
        </w:trPr>
        <w:tc>
          <w:tcPr>
            <w:tcW w:type="dxa" w:w="2800"/>
            <w:shd w:fill="F2F2F2" w:color="auto" w:val="clear"/>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Last reviewed</w:t>
            </w:r>
          </w:p>
        </w:tc>
        <w:tc>
          <w:tcPr>
            <w:tcW w:type="dxa" w:w="656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10 January 2026</w:t>
            </w:r>
          </w:p>
        </w:tc>
      </w:tr>
      <w:tr>
        <w:trPr>
          <w:tblHeader w:val="false"/>
        </w:trPr>
        <w:tc>
          <w:tcPr>
            <w:tcW w:type="dxa" w:w="2800"/>
            <w:shd w:fill="F2F2F2" w:color="auto" w:val="clear"/>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Next review due</w:t>
            </w:r>
          </w:p>
        </w:tc>
        <w:tc>
          <w:tcPr>
            <w:tcW w:type="dxa" w:w="656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10 January 2027</w:t>
            </w:r>
          </w:p>
        </w:tc>
      </w:tr>
      <w:tr>
        <w:trPr>
          <w:tblHeader w:val="false"/>
        </w:trPr>
        <w:tc>
          <w:tcPr>
            <w:tcW w:type="dxa" w:w="2800"/>
            <w:shd w:fill="F2F2F2" w:color="auto" w:val="clear"/>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Review cycle</w:t>
            </w:r>
          </w:p>
        </w:tc>
        <w:tc>
          <w:tcPr>
            <w:tcW w:type="dxa" w:w="656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Annual</w:t>
            </w:r>
          </w:p>
        </w:tc>
      </w:tr>
    </w:tbl>
    <w:p>
      <w:pPr>
        <w:spacing w:after="120" w:before="0"/>
      </w:pPr>
      <w:r>
        <w:rPr>
          <w:rFonts w:ascii="Arial" w:cs="Arial" w:eastAsia="Arial" w:hAnsi="Arial"/>
          <w:sz w:val="21"/>
          <w:szCs w:val="21"/>
        </w:rPr>
        <w:t xml:space="preserve"/>
      </w:r>
    </w:p>
    <w:p>
      <w:pPr>
        <w:pStyle w:val="Heading1"/>
        <w:spacing w:after="140" w:before="320"/>
      </w:pPr>
      <w:r>
        <w:rPr>
          <w:rFonts w:ascii="Arial" w:cs="Arial" w:eastAsia="Arial" w:hAnsi="Arial"/>
        </w:rPr>
        <w:t xml:space="preserve">1. Purpose</w:t>
      </w:r>
    </w:p>
    <w:p>
      <w:pPr>
        <w:spacing w:after="120" w:before="0"/>
      </w:pPr>
      <w:r>
        <w:rPr>
          <w:rFonts w:ascii="Arial" w:cs="Arial" w:eastAsia="Arial" w:hAnsi="Arial"/>
          <w:sz w:val="21"/>
          <w:szCs w:val="21"/>
        </w:rPr>
        <w:t xml:space="preserve">This policy sets out how Veltrix ensures the continued delivery of the Veltrix Onboard service and the recovery of the platform and supporting business functions following a disruptive event.</w:t>
      </w:r>
    </w:p>
    <w:p>
      <w:pPr>
        <w:pStyle w:val="Heading1"/>
        <w:spacing w:after="140" w:before="320"/>
      </w:pPr>
      <w:r>
        <w:rPr>
          <w:rFonts w:ascii="Arial" w:cs="Arial" w:eastAsia="Arial" w:hAnsi="Arial"/>
        </w:rPr>
        <w:t xml:space="preserve">2. Scope</w:t>
      </w:r>
    </w:p>
    <w:p>
      <w:pPr>
        <w:spacing w:after="120" w:before="0"/>
      </w:pPr>
      <w:r>
        <w:rPr>
          <w:rFonts w:ascii="Arial" w:cs="Arial" w:eastAsia="Arial" w:hAnsi="Arial"/>
          <w:sz w:val="21"/>
          <w:szCs w:val="21"/>
        </w:rPr>
        <w:t xml:space="preserve">The production Veltrix Onboard platform, its supporting infrastructure, the corporate functions required to operate and support it, and the personnel in Singapore, Pune and outsourced support locations.</w:t>
      </w:r>
    </w:p>
    <w:p>
      <w:pPr>
        <w:pStyle w:val="Heading1"/>
        <w:spacing w:after="140" w:before="320"/>
      </w:pPr>
      <w:r>
        <w:rPr>
          <w:rFonts w:ascii="Arial" w:cs="Arial" w:eastAsia="Arial" w:hAnsi="Arial"/>
        </w:rPr>
        <w:t xml:space="preserve">3. Governance</w:t>
      </w:r>
    </w:p>
    <w:p>
      <w:pPr>
        <w:spacing w:after="120" w:before="0"/>
      </w:pPr>
      <w:r>
        <w:rPr>
          <w:rFonts w:ascii="Arial" w:cs="Arial" w:eastAsia="Arial" w:hAnsi="Arial"/>
          <w:sz w:val="21"/>
          <w:szCs w:val="21"/>
        </w:rPr>
        <w:t xml:space="preserve">The Chief Technology Officer owns the business continuity programme. The Business Continuity Steering Group (CTO, Head of Platform Operations, Head of Security &amp; Compliance, Head of Customer Success) meets quarterly to review the business impact analysis, risk assessment, plans and test results. Plans are reviewed annually and after any invocation.</w:t>
      </w:r>
    </w:p>
    <w:p>
      <w:pPr>
        <w:pStyle w:val="Heading1"/>
        <w:spacing w:after="140" w:before="320"/>
      </w:pPr>
      <w:r>
        <w:rPr>
          <w:rFonts w:ascii="Arial" w:cs="Arial" w:eastAsia="Arial" w:hAnsi="Arial"/>
        </w:rPr>
        <w:t xml:space="preserve">4. Business impact analysis</w:t>
      </w:r>
    </w:p>
    <w:p>
      <w:pPr>
        <w:spacing w:after="120" w:before="0"/>
      </w:pPr>
      <w:r>
        <w:rPr>
          <w:rFonts w:ascii="Arial" w:cs="Arial" w:eastAsia="Arial" w:hAnsi="Arial"/>
          <w:sz w:val="21"/>
          <w:szCs w:val="21"/>
        </w:rPr>
        <w:t xml:space="preserve">The business impact analysis (BIA) is refreshed annually. It identifies the Veltrix Onboard production platform as the sole Tier 1 service, on which all customer-facing activities depend. Supporting functions (customer support, incident response, engineering release capability) are Tier 2. Back-office functions (finance, HR) are Tier 3.</w:t>
      </w:r>
    </w:p>
    <w:p>
      <w:pPr>
        <w:pStyle w:val="Heading1"/>
        <w:spacing w:after="140" w:before="320"/>
      </w:pPr>
      <w:r>
        <w:rPr>
          <w:rFonts w:ascii="Arial" w:cs="Arial" w:eastAsia="Arial" w:hAnsi="Arial"/>
        </w:rPr>
        <w:t xml:space="preserve">5. Recovery objectives</w:t>
      </w:r>
    </w:p>
    <w:p>
      <w:pPr>
        <w:spacing w:after="120" w:before="0"/>
      </w:pPr>
      <w:r>
        <w:rPr>
          <w:rFonts w:ascii="Arial" w:cs="Arial" w:eastAsia="Arial" w:hAnsi="Arial"/>
          <w:sz w:val="21"/>
          <w:szCs w:val="21"/>
        </w:rPr>
        <w:t xml:space="preserve">Recovery objectives are set by the Steering Group based on the BIA and customer contractual commitments. The production platform has an RTO of 24 hours and an RPO of 4 hours. Objectives for each tier:</w:t>
      </w:r>
    </w:p>
    <w:tbl>
      <w:tblPr>
        <w:tblW w:type="dxa" w:w="9360"/>
        <w:tblBorders>
          <w:top w:val="single" w:color="A6A6A6" w:sz="4"/>
          <w:left w:val="single" w:color="A6A6A6" w:sz="4"/>
          <w:bottom w:val="single" w:color="A6A6A6" w:sz="4"/>
          <w:right w:val="single" w:color="A6A6A6" w:sz="4"/>
          <w:insideH w:val="single" w:color="A6A6A6" w:sz="4"/>
          <w:insideV w:val="single" w:color="A6A6A6" w:sz="4"/>
        </w:tblBorders>
      </w:tblPr>
      <w:tblGrid>
        <w:gridCol w:w="1200"/>
        <w:gridCol w:w="4160"/>
        <w:gridCol w:w="2000"/>
        <w:gridCol w:w="2000"/>
      </w:tblGrid>
      <w:tr>
        <w:trPr>
          <w:tblHeader/>
        </w:trPr>
        <w:tc>
          <w:tcPr>
            <w:tcW w:type="dxa" w:w="1200"/>
            <w:shd w:fill="D9D9D9" w:color="auto" w:val="clear"/>
            <w:tcMar>
              <w:top w:type="dxa" w:w="60"/>
              <w:left w:type="dxa" w:w="100"/>
              <w:bottom w:type="dxa" w:w="60"/>
              <w:right w:type="dxa" w:w="100"/>
            </w:tcMar>
            <w:vAlign w:val="center"/>
          </w:tcPr>
          <w:p>
            <w:pPr>
              <w:spacing w:after="0"/>
            </w:pPr>
            <w:r>
              <w:rPr>
                <w:rFonts w:ascii="Arial" w:cs="Arial" w:eastAsia="Arial" w:hAnsi="Arial"/>
                <w:b/>
                <w:bCs/>
                <w:sz w:val="19"/>
                <w:szCs w:val="19"/>
              </w:rPr>
              <w:t xml:space="preserve">Tier</w:t>
            </w:r>
          </w:p>
        </w:tc>
        <w:tc>
          <w:tcPr>
            <w:tcW w:type="dxa" w:w="4160"/>
            <w:shd w:fill="D9D9D9" w:color="auto" w:val="clear"/>
            <w:tcMar>
              <w:top w:type="dxa" w:w="60"/>
              <w:left w:type="dxa" w:w="100"/>
              <w:bottom w:type="dxa" w:w="60"/>
              <w:right w:type="dxa" w:w="100"/>
            </w:tcMar>
            <w:vAlign w:val="center"/>
          </w:tcPr>
          <w:p>
            <w:pPr>
              <w:spacing w:after="0"/>
            </w:pPr>
            <w:r>
              <w:rPr>
                <w:rFonts w:ascii="Arial" w:cs="Arial" w:eastAsia="Arial" w:hAnsi="Arial"/>
                <w:b/>
                <w:bCs/>
                <w:sz w:val="19"/>
                <w:szCs w:val="19"/>
              </w:rPr>
              <w:t xml:space="preserve">Scope</w:t>
            </w:r>
          </w:p>
        </w:tc>
        <w:tc>
          <w:tcPr>
            <w:tcW w:type="dxa" w:w="2000"/>
            <w:shd w:fill="D9D9D9" w:color="auto" w:val="clear"/>
            <w:tcMar>
              <w:top w:type="dxa" w:w="60"/>
              <w:left w:type="dxa" w:w="100"/>
              <w:bottom w:type="dxa" w:w="60"/>
              <w:right w:type="dxa" w:w="100"/>
            </w:tcMar>
            <w:vAlign w:val="center"/>
          </w:tcPr>
          <w:p>
            <w:pPr>
              <w:spacing w:after="0"/>
            </w:pPr>
            <w:r>
              <w:rPr>
                <w:rFonts w:ascii="Arial" w:cs="Arial" w:eastAsia="Arial" w:hAnsi="Arial"/>
                <w:b/>
                <w:bCs/>
                <w:sz w:val="19"/>
                <w:szCs w:val="19"/>
              </w:rPr>
              <w:t xml:space="preserve">Recovery time objective (RTO)</w:t>
            </w:r>
          </w:p>
        </w:tc>
        <w:tc>
          <w:tcPr>
            <w:tcW w:type="dxa" w:w="2000"/>
            <w:shd w:fill="D9D9D9" w:color="auto" w:val="clear"/>
            <w:tcMar>
              <w:top w:type="dxa" w:w="60"/>
              <w:left w:type="dxa" w:w="100"/>
              <w:bottom w:type="dxa" w:w="60"/>
              <w:right w:type="dxa" w:w="100"/>
            </w:tcMar>
            <w:vAlign w:val="center"/>
          </w:tcPr>
          <w:p>
            <w:pPr>
              <w:spacing w:after="0"/>
            </w:pPr>
            <w:r>
              <w:rPr>
                <w:rFonts w:ascii="Arial" w:cs="Arial" w:eastAsia="Arial" w:hAnsi="Arial"/>
                <w:b/>
                <w:bCs/>
                <w:sz w:val="19"/>
                <w:szCs w:val="19"/>
              </w:rPr>
              <w:t xml:space="preserve">Recovery point objective (RPO)</w:t>
            </w:r>
          </w:p>
        </w:tc>
      </w:tr>
      <w:tr>
        <w:trPr>
          <w:tblHeader w:val="false"/>
        </w:trPr>
        <w:tc>
          <w:tcPr>
            <w:tcW w:type="dxa" w:w="120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Tier 1</w:t>
            </w:r>
          </w:p>
        </w:tc>
        <w:tc>
          <w:tcPr>
            <w:tcW w:type="dxa" w:w="416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Veltrix Onboard production platform (application, database, document storage, screening engine)</w:t>
            </w:r>
          </w:p>
        </w:tc>
        <w:tc>
          <w:tcPr>
            <w:tcW w:type="dxa" w:w="200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24 hours</w:t>
            </w:r>
          </w:p>
        </w:tc>
        <w:tc>
          <w:tcPr>
            <w:tcW w:type="dxa" w:w="200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4 hours</w:t>
            </w:r>
          </w:p>
        </w:tc>
      </w:tr>
      <w:tr>
        <w:trPr>
          <w:tblHeader w:val="false"/>
        </w:trPr>
        <w:tc>
          <w:tcPr>
            <w:tcW w:type="dxa" w:w="120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Tier 2</w:t>
            </w:r>
          </w:p>
        </w:tc>
        <w:tc>
          <w:tcPr>
            <w:tcW w:type="dxa" w:w="416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Support console, incident response tooling, CI/CD pipeline</w:t>
            </w:r>
          </w:p>
        </w:tc>
        <w:tc>
          <w:tcPr>
            <w:tcW w:type="dxa" w:w="200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48 hours</w:t>
            </w:r>
          </w:p>
        </w:tc>
        <w:tc>
          <w:tcPr>
            <w:tcW w:type="dxa" w:w="200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24 hours</w:t>
            </w:r>
          </w:p>
        </w:tc>
      </w:tr>
      <w:tr>
        <w:trPr>
          <w:tblHeader w:val="false"/>
        </w:trPr>
        <w:tc>
          <w:tcPr>
            <w:tcW w:type="dxa" w:w="120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Tier 3</w:t>
            </w:r>
          </w:p>
        </w:tc>
        <w:tc>
          <w:tcPr>
            <w:tcW w:type="dxa" w:w="416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Corporate systems</w:t>
            </w:r>
          </w:p>
        </w:tc>
        <w:tc>
          <w:tcPr>
            <w:tcW w:type="dxa" w:w="200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5 business days</w:t>
            </w:r>
          </w:p>
        </w:tc>
        <w:tc>
          <w:tcPr>
            <w:tcW w:type="dxa" w:w="200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24 hours</w:t>
            </w:r>
          </w:p>
        </w:tc>
      </w:tr>
    </w:tbl>
    <w:p>
      <w:pPr>
        <w:pStyle w:val="Heading1"/>
        <w:spacing w:after="140" w:before="320"/>
      </w:pPr>
      <w:r>
        <w:rPr>
          <w:rFonts w:ascii="Arial" w:cs="Arial" w:eastAsia="Arial" w:hAnsi="Arial"/>
        </w:rPr>
        <w:t xml:space="preserve">6. Disaster recovery architecture</w:t>
      </w:r>
    </w:p>
    <w:p>
      <w:pPr>
        <w:pStyle w:val="ListParagraph"/>
        <w:numPr>
          <w:ilvl w:val="0"/>
          <w:numId w:val="2"/>
        </w:numPr>
        <w:spacing w:after="60"/>
      </w:pPr>
      <w:r>
        <w:rPr>
          <w:rFonts w:ascii="Arial" w:cs="Arial" w:eastAsia="Arial" w:hAnsi="Arial"/>
          <w:sz w:val="21"/>
          <w:szCs w:val="21"/>
        </w:rPr>
        <w:t xml:space="preserve">Primary production environment: AWS ap-southeast-1 (Singapore), deployed across three availability zones with automatic failover for application and database tiers within the region.</w:t>
      </w:r>
    </w:p>
    <w:p>
      <w:pPr>
        <w:pStyle w:val="ListParagraph"/>
        <w:numPr>
          <w:ilvl w:val="0"/>
          <w:numId w:val="2"/>
        </w:numPr>
        <w:spacing w:after="60"/>
      </w:pPr>
      <w:r>
        <w:rPr>
          <w:rFonts w:ascii="Arial" w:cs="Arial" w:eastAsia="Arial" w:hAnsi="Arial"/>
          <w:sz w:val="21"/>
          <w:szCs w:val="21"/>
        </w:rPr>
        <w:t xml:space="preserve">Disaster recovery environment: AWS eu-west-1 (Ireland), warm standby. The production database is replicated continuously to a read replica in Ireland; document storage is replicated by cross-region replication on an hourly schedule. Application infrastructure is provisioned from infrastructure-as-code templates on invocation.</w:t>
      </w:r>
    </w:p>
    <w:p>
      <w:pPr>
        <w:pStyle w:val="ListParagraph"/>
        <w:numPr>
          <w:ilvl w:val="0"/>
          <w:numId w:val="2"/>
        </w:numPr>
        <w:spacing w:after="60"/>
      </w:pPr>
      <w:r>
        <w:rPr>
          <w:rFonts w:ascii="Arial" w:cs="Arial" w:eastAsia="Arial" w:hAnsi="Arial"/>
          <w:sz w:val="21"/>
          <w:szCs w:val="21"/>
        </w:rPr>
        <w:t xml:space="preserve">Invocation of the DR environment is authorised by the CTO or, in the CTO's absence, the Head of Platform Operations, following a P1 incident declaration with expected outage of the primary region exceeding 4 hours.</w:t>
      </w:r>
    </w:p>
    <w:p>
      <w:pPr>
        <w:pStyle w:val="ListParagraph"/>
        <w:numPr>
          <w:ilvl w:val="0"/>
          <w:numId w:val="2"/>
        </w:numPr>
        <w:spacing w:after="60"/>
      </w:pPr>
      <w:r>
        <w:rPr>
          <w:rFonts w:ascii="Arial" w:cs="Arial" w:eastAsia="Arial" w:hAnsi="Arial"/>
          <w:sz w:val="21"/>
          <w:szCs w:val="21"/>
        </w:rPr>
        <w:t xml:space="preserve">Following invocation, customer DNS is repointed to the DR environment. Customers are notified through the status page and their designated contacts.</w:t>
      </w:r>
    </w:p>
    <w:p>
      <w:pPr>
        <w:pStyle w:val="Heading1"/>
        <w:spacing w:after="140" w:before="320"/>
      </w:pPr>
      <w:r>
        <w:rPr>
          <w:rFonts w:ascii="Arial" w:cs="Arial" w:eastAsia="Arial" w:hAnsi="Arial"/>
        </w:rPr>
        <w:t xml:space="preserve">7. Backups</w:t>
      </w:r>
    </w:p>
    <w:p>
      <w:pPr>
        <w:spacing w:after="120" w:before="0"/>
      </w:pPr>
      <w:r>
        <w:rPr>
          <w:rFonts w:ascii="Arial" w:cs="Arial" w:eastAsia="Arial" w:hAnsi="Arial"/>
          <w:sz w:val="21"/>
          <w:szCs w:val="21"/>
        </w:rPr>
        <w:t xml:space="preserve">Database snapshots are taken every 4 hours and retained for 35 days; a monthly snapshot is retained for 12 months. Document storage is versioned with a 90-day retention of deleted versions. Backup restoration is tested quarterly by restoring a snapshot to an isolated environment and validating integrity.</w:t>
      </w:r>
    </w:p>
    <w:p>
      <w:pPr>
        <w:pStyle w:val="Heading1"/>
        <w:spacing w:after="140" w:before="320"/>
      </w:pPr>
      <w:r>
        <w:rPr>
          <w:rFonts w:ascii="Arial" w:cs="Arial" w:eastAsia="Arial" w:hAnsi="Arial"/>
        </w:rPr>
        <w:t xml:space="preserve">8. Testing</w:t>
      </w:r>
    </w:p>
    <w:p>
      <w:pPr>
        <w:spacing w:after="120" w:before="0"/>
      </w:pPr>
      <w:r>
        <w:rPr>
          <w:rFonts w:ascii="Arial" w:cs="Arial" w:eastAsia="Arial" w:hAnsi="Arial"/>
          <w:sz w:val="21"/>
          <w:szCs w:val="21"/>
        </w:rPr>
        <w:t xml:space="preserve">The following tests are performed:</w:t>
      </w:r>
    </w:p>
    <w:tbl>
      <w:tblPr>
        <w:tblW w:type="dxa" w:w="9360"/>
        <w:tblBorders>
          <w:top w:val="single" w:color="A6A6A6" w:sz="4"/>
          <w:left w:val="single" w:color="A6A6A6" w:sz="4"/>
          <w:bottom w:val="single" w:color="A6A6A6" w:sz="4"/>
          <w:right w:val="single" w:color="A6A6A6" w:sz="4"/>
          <w:insideH w:val="single" w:color="A6A6A6" w:sz="4"/>
          <w:insideV w:val="single" w:color="A6A6A6" w:sz="4"/>
        </w:tblBorders>
      </w:tblPr>
      <w:tblGrid>
        <w:gridCol w:w="3400"/>
        <w:gridCol w:w="1500"/>
        <w:gridCol w:w="1900"/>
        <w:gridCol w:w="2560"/>
      </w:tblGrid>
      <w:tr>
        <w:trPr>
          <w:tblHeader/>
        </w:trPr>
        <w:tc>
          <w:tcPr>
            <w:tcW w:type="dxa" w:w="3400"/>
            <w:shd w:fill="D9D9D9" w:color="auto" w:val="clear"/>
            <w:tcMar>
              <w:top w:type="dxa" w:w="60"/>
              <w:left w:type="dxa" w:w="100"/>
              <w:bottom w:type="dxa" w:w="60"/>
              <w:right w:type="dxa" w:w="100"/>
            </w:tcMar>
            <w:vAlign w:val="center"/>
          </w:tcPr>
          <w:p>
            <w:pPr>
              <w:spacing w:after="0"/>
            </w:pPr>
            <w:r>
              <w:rPr>
                <w:rFonts w:ascii="Arial" w:cs="Arial" w:eastAsia="Arial" w:hAnsi="Arial"/>
                <w:b/>
                <w:bCs/>
                <w:sz w:val="19"/>
                <w:szCs w:val="19"/>
              </w:rPr>
              <w:t xml:space="preserve">Test</w:t>
            </w:r>
          </w:p>
        </w:tc>
        <w:tc>
          <w:tcPr>
            <w:tcW w:type="dxa" w:w="1500"/>
            <w:shd w:fill="D9D9D9" w:color="auto" w:val="clear"/>
            <w:tcMar>
              <w:top w:type="dxa" w:w="60"/>
              <w:left w:type="dxa" w:w="100"/>
              <w:bottom w:type="dxa" w:w="60"/>
              <w:right w:type="dxa" w:w="100"/>
            </w:tcMar>
            <w:vAlign w:val="center"/>
          </w:tcPr>
          <w:p>
            <w:pPr>
              <w:spacing w:after="0"/>
            </w:pPr>
            <w:r>
              <w:rPr>
                <w:rFonts w:ascii="Arial" w:cs="Arial" w:eastAsia="Arial" w:hAnsi="Arial"/>
                <w:b/>
                <w:bCs/>
                <w:sz w:val="19"/>
                <w:szCs w:val="19"/>
              </w:rPr>
              <w:t xml:space="preserve">Frequency</w:t>
            </w:r>
          </w:p>
        </w:tc>
        <w:tc>
          <w:tcPr>
            <w:tcW w:type="dxa" w:w="1900"/>
            <w:shd w:fill="D9D9D9" w:color="auto" w:val="clear"/>
            <w:tcMar>
              <w:top w:type="dxa" w:w="60"/>
              <w:left w:type="dxa" w:w="100"/>
              <w:bottom w:type="dxa" w:w="60"/>
              <w:right w:type="dxa" w:w="100"/>
            </w:tcMar>
            <w:vAlign w:val="center"/>
          </w:tcPr>
          <w:p>
            <w:pPr>
              <w:spacing w:after="0"/>
            </w:pPr>
            <w:r>
              <w:rPr>
                <w:rFonts w:ascii="Arial" w:cs="Arial" w:eastAsia="Arial" w:hAnsi="Arial"/>
                <w:b/>
                <w:bCs/>
                <w:sz w:val="19"/>
                <w:szCs w:val="19"/>
              </w:rPr>
              <w:t xml:space="preserve">Last performed</w:t>
            </w:r>
          </w:p>
        </w:tc>
        <w:tc>
          <w:tcPr>
            <w:tcW w:type="dxa" w:w="2560"/>
            <w:shd w:fill="D9D9D9" w:color="auto" w:val="clear"/>
            <w:tcMar>
              <w:top w:type="dxa" w:w="60"/>
              <w:left w:type="dxa" w:w="100"/>
              <w:bottom w:type="dxa" w:w="60"/>
              <w:right w:type="dxa" w:w="100"/>
            </w:tcMar>
            <w:vAlign w:val="center"/>
          </w:tcPr>
          <w:p>
            <w:pPr>
              <w:spacing w:after="0"/>
            </w:pPr>
            <w:r>
              <w:rPr>
                <w:rFonts w:ascii="Arial" w:cs="Arial" w:eastAsia="Arial" w:hAnsi="Arial"/>
                <w:b/>
                <w:bCs/>
                <w:sz w:val="19"/>
                <w:szCs w:val="19"/>
              </w:rPr>
              <w:t xml:space="preserve">Result</w:t>
            </w:r>
          </w:p>
        </w:tc>
      </w:tr>
      <w:tr>
        <w:trPr>
          <w:tblHeader w:val="false"/>
        </w:trPr>
        <w:tc>
          <w:tcPr>
            <w:tcW w:type="dxa" w:w="340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Backup restoration test</w:t>
            </w:r>
          </w:p>
        </w:tc>
        <w:tc>
          <w:tcPr>
            <w:tcW w:type="dxa" w:w="150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Quarterly</w:t>
            </w:r>
          </w:p>
        </w:tc>
        <w:tc>
          <w:tcPr>
            <w:tcW w:type="dxa" w:w="190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14 July 2026</w:t>
            </w:r>
          </w:p>
        </w:tc>
        <w:tc>
          <w:tcPr>
            <w:tcW w:type="dxa" w:w="256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Successful</w:t>
            </w:r>
          </w:p>
        </w:tc>
      </w:tr>
      <w:tr>
        <w:trPr>
          <w:tblHeader w:val="false"/>
        </w:trPr>
        <w:tc>
          <w:tcPr>
            <w:tcW w:type="dxa" w:w="340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Availability-zone failover test (within region)</w:t>
            </w:r>
          </w:p>
        </w:tc>
        <w:tc>
          <w:tcPr>
            <w:tcW w:type="dxa" w:w="150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Semi-annually</w:t>
            </w:r>
          </w:p>
        </w:tc>
        <w:tc>
          <w:tcPr>
            <w:tcW w:type="dxa" w:w="190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3 May 2026</w:t>
            </w:r>
          </w:p>
        </w:tc>
        <w:tc>
          <w:tcPr>
            <w:tcW w:type="dxa" w:w="256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Successful</w:t>
            </w:r>
          </w:p>
        </w:tc>
      </w:tr>
      <w:tr>
        <w:trPr>
          <w:tblHeader w:val="false"/>
        </w:trPr>
        <w:tc>
          <w:tcPr>
            <w:tcW w:type="dxa" w:w="340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Full cross-region DR exercise (invocation of the Ireland environment)</w:t>
            </w:r>
          </w:p>
        </w:tc>
        <w:tc>
          <w:tcPr>
            <w:tcW w:type="dxa" w:w="150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Annually</w:t>
            </w:r>
          </w:p>
        </w:tc>
        <w:tc>
          <w:tcPr>
            <w:tcW w:type="dxa" w:w="190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21 September 2024</w:t>
            </w:r>
          </w:p>
        </w:tc>
        <w:tc>
          <w:tcPr>
            <w:tcW w:type="dxa" w:w="256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Partially successful — see Appendix A</w:t>
            </w:r>
          </w:p>
        </w:tc>
      </w:tr>
      <w:tr>
        <w:trPr>
          <w:tblHeader w:val="false"/>
        </w:trPr>
        <w:tc>
          <w:tcPr>
            <w:tcW w:type="dxa" w:w="340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Business continuity tabletop (loss of Singapore office / pandemic scenario)</w:t>
            </w:r>
          </w:p>
        </w:tc>
        <w:tc>
          <w:tcPr>
            <w:tcW w:type="dxa" w:w="150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Annually</w:t>
            </w:r>
          </w:p>
        </w:tc>
        <w:tc>
          <w:tcPr>
            <w:tcW w:type="dxa" w:w="190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11 November 2025</w:t>
            </w:r>
          </w:p>
        </w:tc>
        <w:tc>
          <w:tcPr>
            <w:tcW w:type="dxa" w:w="256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Successful</w:t>
            </w:r>
          </w:p>
        </w:tc>
      </w:tr>
    </w:tbl>
    <w:p>
      <w:pPr>
        <w:spacing w:after="120" w:before="0"/>
      </w:pPr>
      <w:r>
        <w:rPr>
          <w:rFonts w:ascii="Arial" w:cs="Arial" w:eastAsia="Arial" w:hAnsi="Arial"/>
          <w:sz w:val="21"/>
          <w:szCs w:val="21"/>
        </w:rPr>
        <w:t xml:space="preserve"/>
      </w:r>
    </w:p>
    <w:p>
      <w:pPr>
        <w:spacing w:after="120" w:before="0"/>
      </w:pPr>
      <w:r>
        <w:rPr>
          <w:rFonts w:ascii="Arial" w:cs="Arial" w:eastAsia="Arial" w:hAnsi="Arial"/>
          <w:sz w:val="21"/>
          <w:szCs w:val="21"/>
        </w:rPr>
        <w:t xml:space="preserve">The full cross-region DR exercise planned for October 2025 was deferred at the request of the engineering leadership to avoid conflict with the Veltrix IQ release programme and is rescheduled for Q4 2026.</w:t>
      </w:r>
    </w:p>
    <w:p>
      <w:pPr>
        <w:pStyle w:val="Heading1"/>
        <w:spacing w:after="140" w:before="320"/>
      </w:pPr>
      <w:r>
        <w:rPr>
          <w:rFonts w:ascii="Arial" w:cs="Arial" w:eastAsia="Arial" w:hAnsi="Arial"/>
        </w:rPr>
        <w:t xml:space="preserve">9. Workforce continuity</w:t>
      </w:r>
    </w:p>
    <w:p>
      <w:pPr>
        <w:spacing w:after="120" w:before="0"/>
      </w:pPr>
      <w:r>
        <w:rPr>
          <w:rFonts w:ascii="Arial" w:cs="Arial" w:eastAsia="Arial" w:hAnsi="Arial"/>
          <w:sz w:val="21"/>
          <w:szCs w:val="21"/>
        </w:rPr>
        <w:t xml:space="preserve">All personnel are equipped to work remotely. Production support is provided from Singapore and Pune such that the loss of either location does not interrupt 24x7 support. Tier-1 customer support is provided by Cerulean Support Services from Manila, with Veltrix Customer Success in Singapore as the fallback.</w:t>
      </w:r>
    </w:p>
    <w:p>
      <w:pPr>
        <w:pStyle w:val="Heading1"/>
        <w:spacing w:after="140" w:before="320"/>
      </w:pPr>
      <w:r>
        <w:rPr>
          <w:rFonts w:ascii="Arial" w:cs="Arial" w:eastAsia="Arial" w:hAnsi="Arial"/>
        </w:rPr>
        <w:t xml:space="preserve">10. Plan maintenance</w:t>
      </w:r>
    </w:p>
    <w:p>
      <w:pPr>
        <w:spacing w:after="120" w:before="0"/>
      </w:pPr>
      <w:r>
        <w:rPr>
          <w:rFonts w:ascii="Arial" w:cs="Arial" w:eastAsia="Arial" w:hAnsi="Arial"/>
          <w:sz w:val="21"/>
          <w:szCs w:val="21"/>
        </w:rPr>
        <w:t xml:space="preserve">Plans are maintained by the Head of Platform Operations, reviewed annually by the Steering Group, and updated following tests, invocations or material changes to the platform.</w:t>
      </w:r>
    </w:p>
    <w:p>
      <w:r>
        <w:br w:type="page"/>
      </w:r>
    </w:p>
    <w:p>
      <w:pPr>
        <w:pStyle w:val="Heading1"/>
        <w:spacing w:after="140" w:before="320"/>
      </w:pPr>
      <w:r>
        <w:rPr>
          <w:rFonts w:ascii="Arial" w:cs="Arial" w:eastAsia="Arial" w:hAnsi="Arial"/>
        </w:rPr>
        <w:t xml:space="preserve">Appendix A — Summary of the cross-region DR exercise, 21 September 2024</w:t>
      </w:r>
    </w:p>
    <w:tbl>
      <w:tblPr>
        <w:tblW w:type="dxa" w:w="9360"/>
        <w:tblBorders>
          <w:top w:val="single" w:color="A6A6A6" w:sz="4"/>
          <w:left w:val="single" w:color="A6A6A6" w:sz="4"/>
          <w:bottom w:val="single" w:color="A6A6A6" w:sz="4"/>
          <w:right w:val="single" w:color="A6A6A6" w:sz="4"/>
          <w:insideH w:val="single" w:color="A6A6A6" w:sz="4"/>
          <w:insideV w:val="single" w:color="A6A6A6" w:sz="4"/>
        </w:tblBorders>
      </w:tblPr>
      <w:tblGrid>
        <w:gridCol w:w="2800"/>
        <w:gridCol w:w="6560"/>
      </w:tblGrid>
      <w:tr>
        <w:trPr>
          <w:tblHeader w:val="false"/>
        </w:trPr>
        <w:tc>
          <w:tcPr>
            <w:tcW w:type="dxa" w:w="2800"/>
            <w:shd w:fill="F2F2F2" w:color="auto" w:val="clear"/>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Scenario</w:t>
            </w:r>
          </w:p>
        </w:tc>
        <w:tc>
          <w:tcPr>
            <w:tcW w:type="dxa" w:w="656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Simulated loss of the ap-southeast-1 region; full invocation of the eu-west-1 environment with live customer traffic for a test tenant</w:t>
            </w:r>
          </w:p>
        </w:tc>
      </w:tr>
      <w:tr>
        <w:trPr>
          <w:tblHeader w:val="false"/>
        </w:trPr>
        <w:tc>
          <w:tcPr>
            <w:tcW w:type="dxa" w:w="2800"/>
            <w:shd w:fill="F2F2F2" w:color="auto" w:val="clear"/>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Participants</w:t>
            </w:r>
          </w:p>
        </w:tc>
        <w:tc>
          <w:tcPr>
            <w:tcW w:type="dxa" w:w="656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Platform Operations (Singapore), L3 support (Pune), Security, Customer Success</w:t>
            </w:r>
          </w:p>
        </w:tc>
      </w:tr>
      <w:tr>
        <w:trPr>
          <w:tblHeader w:val="false"/>
        </w:trPr>
        <w:tc>
          <w:tcPr>
            <w:tcW w:type="dxa" w:w="2800"/>
            <w:shd w:fill="F2F2F2" w:color="auto" w:val="clear"/>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Outcome</w:t>
            </w:r>
          </w:p>
        </w:tc>
        <w:tc>
          <w:tcPr>
            <w:tcW w:type="dxa" w:w="656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Partially successful. The platform was restored in the DR region and the test tenant validated end-to-end functionality.</w:t>
            </w:r>
          </w:p>
        </w:tc>
      </w:tr>
      <w:tr>
        <w:trPr>
          <w:tblHeader w:val="false"/>
        </w:trPr>
        <w:tc>
          <w:tcPr>
            <w:tcW w:type="dxa" w:w="2800"/>
            <w:shd w:fill="F2F2F2" w:color="auto" w:val="clear"/>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Time to restore service</w:t>
            </w:r>
          </w:p>
        </w:tc>
        <w:tc>
          <w:tcPr>
            <w:tcW w:type="dxa" w:w="656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9 hours 40 minutes (within the 24-hour RTO)</w:t>
            </w:r>
          </w:p>
        </w:tc>
      </w:tr>
      <w:tr>
        <w:trPr>
          <w:tblHeader w:val="false"/>
        </w:trPr>
        <w:tc>
          <w:tcPr>
            <w:tcW w:type="dxa" w:w="2800"/>
            <w:shd w:fill="F2F2F2" w:color="auto" w:val="clear"/>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Data loss</w:t>
            </w:r>
          </w:p>
        </w:tc>
        <w:tc>
          <w:tcPr>
            <w:tcW w:type="dxa" w:w="656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Document storage replication lag at the point of failover was approximately 6 hours, exceeding the 4-hour RPO. 214 test documents uploaded in the 6 hours before failover were not present in the DR environment.</w:t>
            </w:r>
          </w:p>
        </w:tc>
      </w:tr>
      <w:tr>
        <w:trPr>
          <w:tblHeader w:val="false"/>
        </w:trPr>
        <w:tc>
          <w:tcPr>
            <w:tcW w:type="dxa" w:w="2800"/>
            <w:shd w:fill="F2F2F2" w:color="auto" w:val="clear"/>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Other observations</w:t>
            </w:r>
          </w:p>
        </w:tc>
        <w:tc>
          <w:tcPr>
            <w:tcW w:type="dxa" w:w="656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Screening engine list data in DR was 3 days stale; SFTP gateway was not provisioned in DR and batch exchange with the test tenant failed; runbook steps for DNS repointing were out of date.</w:t>
            </w:r>
          </w:p>
        </w:tc>
      </w:tr>
    </w:tbl>
    <w:p>
      <w:pPr>
        <w:spacing w:after="120" w:before="0"/>
      </w:pPr>
      <w:r>
        <w:rPr>
          <w:rFonts w:ascii="Arial" w:cs="Arial" w:eastAsia="Arial" w:hAnsi="Arial"/>
          <w:sz w:val="21"/>
          <w:szCs w:val="21"/>
        </w:rPr>
        <w:t xml:space="preserve"/>
      </w:r>
    </w:p>
    <w:tbl>
      <w:tblPr>
        <w:tblW w:type="dxa" w:w="9360"/>
        <w:tblBorders>
          <w:top w:val="single" w:color="A6A6A6" w:sz="4"/>
          <w:left w:val="single" w:color="A6A6A6" w:sz="4"/>
          <w:bottom w:val="single" w:color="A6A6A6" w:sz="4"/>
          <w:right w:val="single" w:color="A6A6A6" w:sz="4"/>
          <w:insideH w:val="single" w:color="A6A6A6" w:sz="4"/>
          <w:insideV w:val="single" w:color="A6A6A6" w:sz="4"/>
        </w:tblBorders>
      </w:tblPr>
      <w:tblGrid>
        <w:gridCol w:w="4200"/>
        <w:gridCol w:w="1900"/>
        <w:gridCol w:w="1600"/>
        <w:gridCol w:w="1660"/>
      </w:tblGrid>
      <w:tr>
        <w:trPr>
          <w:tblHeader/>
        </w:trPr>
        <w:tc>
          <w:tcPr>
            <w:tcW w:type="dxa" w:w="4200"/>
            <w:shd w:fill="D9D9D9" w:color="auto" w:val="clear"/>
            <w:tcMar>
              <w:top w:type="dxa" w:w="60"/>
              <w:left w:type="dxa" w:w="100"/>
              <w:bottom w:type="dxa" w:w="60"/>
              <w:right w:type="dxa" w:w="100"/>
            </w:tcMar>
            <w:vAlign w:val="center"/>
          </w:tcPr>
          <w:p>
            <w:pPr>
              <w:spacing w:after="0"/>
            </w:pPr>
            <w:r>
              <w:rPr>
                <w:rFonts w:ascii="Arial" w:cs="Arial" w:eastAsia="Arial" w:hAnsi="Arial"/>
                <w:b/>
                <w:bCs/>
                <w:sz w:val="19"/>
                <w:szCs w:val="19"/>
              </w:rPr>
              <w:t xml:space="preserve">Action</w:t>
            </w:r>
          </w:p>
        </w:tc>
        <w:tc>
          <w:tcPr>
            <w:tcW w:type="dxa" w:w="1900"/>
            <w:shd w:fill="D9D9D9" w:color="auto" w:val="clear"/>
            <w:tcMar>
              <w:top w:type="dxa" w:w="60"/>
              <w:left w:type="dxa" w:w="100"/>
              <w:bottom w:type="dxa" w:w="60"/>
              <w:right w:type="dxa" w:w="100"/>
            </w:tcMar>
            <w:vAlign w:val="center"/>
          </w:tcPr>
          <w:p>
            <w:pPr>
              <w:spacing w:after="0"/>
            </w:pPr>
            <w:r>
              <w:rPr>
                <w:rFonts w:ascii="Arial" w:cs="Arial" w:eastAsia="Arial" w:hAnsi="Arial"/>
                <w:b/>
                <w:bCs/>
                <w:sz w:val="19"/>
                <w:szCs w:val="19"/>
              </w:rPr>
              <w:t xml:space="preserve">Owner</w:t>
            </w:r>
          </w:p>
        </w:tc>
        <w:tc>
          <w:tcPr>
            <w:tcW w:type="dxa" w:w="1600"/>
            <w:shd w:fill="D9D9D9" w:color="auto" w:val="clear"/>
            <w:tcMar>
              <w:top w:type="dxa" w:w="60"/>
              <w:left w:type="dxa" w:w="100"/>
              <w:bottom w:type="dxa" w:w="60"/>
              <w:right w:type="dxa" w:w="100"/>
            </w:tcMar>
            <w:vAlign w:val="center"/>
          </w:tcPr>
          <w:p>
            <w:pPr>
              <w:spacing w:after="0"/>
            </w:pPr>
            <w:r>
              <w:rPr>
                <w:rFonts w:ascii="Arial" w:cs="Arial" w:eastAsia="Arial" w:hAnsi="Arial"/>
                <w:b/>
                <w:bCs/>
                <w:sz w:val="19"/>
                <w:szCs w:val="19"/>
              </w:rPr>
              <w:t xml:space="preserve">Target date</w:t>
            </w:r>
          </w:p>
        </w:tc>
        <w:tc>
          <w:tcPr>
            <w:tcW w:type="dxa" w:w="1660"/>
            <w:shd w:fill="D9D9D9" w:color="auto" w:val="clear"/>
            <w:tcMar>
              <w:top w:type="dxa" w:w="60"/>
              <w:left w:type="dxa" w:w="100"/>
              <w:bottom w:type="dxa" w:w="60"/>
              <w:right w:type="dxa" w:w="100"/>
            </w:tcMar>
            <w:vAlign w:val="center"/>
          </w:tcPr>
          <w:p>
            <w:pPr>
              <w:spacing w:after="0"/>
            </w:pPr>
            <w:r>
              <w:rPr>
                <w:rFonts w:ascii="Arial" w:cs="Arial" w:eastAsia="Arial" w:hAnsi="Arial"/>
                <w:b/>
                <w:bCs/>
                <w:sz w:val="19"/>
                <w:szCs w:val="19"/>
              </w:rPr>
              <w:t xml:space="preserve">Status</w:t>
            </w:r>
          </w:p>
        </w:tc>
      </w:tr>
      <w:tr>
        <w:trPr>
          <w:tblHeader w:val="false"/>
        </w:trPr>
        <w:tc>
          <w:tcPr>
            <w:tcW w:type="dxa" w:w="420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Reduce document storage replication interval to 15 minutes</w:t>
            </w:r>
          </w:p>
        </w:tc>
        <w:tc>
          <w:tcPr>
            <w:tcW w:type="dxa" w:w="190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Platform Operations</w:t>
            </w:r>
          </w:p>
        </w:tc>
        <w:tc>
          <w:tcPr>
            <w:tcW w:type="dxa" w:w="160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31 March 2025</w:t>
            </w:r>
          </w:p>
        </w:tc>
        <w:tc>
          <w:tcPr>
            <w:tcW w:type="dxa" w:w="166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Open — pending cost approval</w:t>
            </w:r>
          </w:p>
        </w:tc>
      </w:tr>
      <w:tr>
        <w:trPr>
          <w:tblHeader w:val="false"/>
        </w:trPr>
        <w:tc>
          <w:tcPr>
            <w:tcW w:type="dxa" w:w="420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Provision SFTP gateway in DR environment via infrastructure-as-code</w:t>
            </w:r>
          </w:p>
        </w:tc>
        <w:tc>
          <w:tcPr>
            <w:tcW w:type="dxa" w:w="190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Platform Operations</w:t>
            </w:r>
          </w:p>
        </w:tc>
        <w:tc>
          <w:tcPr>
            <w:tcW w:type="dxa" w:w="160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31 March 2025</w:t>
            </w:r>
          </w:p>
        </w:tc>
        <w:tc>
          <w:tcPr>
            <w:tcW w:type="dxa" w:w="166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Open</w:t>
            </w:r>
          </w:p>
        </w:tc>
      </w:tr>
      <w:tr>
        <w:trPr>
          <w:tblHeader w:val="false"/>
        </w:trPr>
        <w:tc>
          <w:tcPr>
            <w:tcW w:type="dxa" w:w="420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Automate screening list synchronisation to DR</w:t>
            </w:r>
          </w:p>
        </w:tc>
        <w:tc>
          <w:tcPr>
            <w:tcW w:type="dxa" w:w="190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Engineering</w:t>
            </w:r>
          </w:p>
        </w:tc>
        <w:tc>
          <w:tcPr>
            <w:tcW w:type="dxa" w:w="160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30 June 2025</w:t>
            </w:r>
          </w:p>
        </w:tc>
        <w:tc>
          <w:tcPr>
            <w:tcW w:type="dxa" w:w="166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Closed</w:t>
            </w:r>
          </w:p>
        </w:tc>
      </w:tr>
      <w:tr>
        <w:trPr>
          <w:tblHeader w:val="false"/>
        </w:trPr>
        <w:tc>
          <w:tcPr>
            <w:tcW w:type="dxa" w:w="420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Update DR runbook</w:t>
            </w:r>
          </w:p>
        </w:tc>
        <w:tc>
          <w:tcPr>
            <w:tcW w:type="dxa" w:w="190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Platform Operations</w:t>
            </w:r>
          </w:p>
        </w:tc>
        <w:tc>
          <w:tcPr>
            <w:tcW w:type="dxa" w:w="160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31 December 2024</w:t>
            </w:r>
          </w:p>
        </w:tc>
        <w:tc>
          <w:tcPr>
            <w:tcW w:type="dxa" w:w="166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Closed</w:t>
            </w:r>
          </w:p>
        </w:tc>
      </w:tr>
    </w:tbl>
    <w:p>
      <w:pPr>
        <w:spacing w:after="120" w:before="0"/>
      </w:pPr>
      <w:r>
        <w:rPr>
          <w:rFonts w:ascii="Arial" w:cs="Arial" w:eastAsia="Arial" w:hAnsi="Arial"/>
          <w:sz w:val="21"/>
          <w:szCs w:val="21"/>
        </w:rPr>
        <w:t xml:space="preserve"/>
      </w:r>
    </w:p>
    <w:p>
      <w:pPr>
        <w:pStyle w:val="Heading1"/>
        <w:spacing w:after="140" w:before="320"/>
      </w:pPr>
      <w:r>
        <w:rPr>
          <w:rFonts w:ascii="Arial" w:cs="Arial" w:eastAsia="Arial" w:hAnsi="Arial"/>
        </w:rPr>
        <w:t xml:space="preserve">Appendix B — Revision history</w:t>
      </w:r>
    </w:p>
    <w:tbl>
      <w:tblPr>
        <w:tblW w:type="dxa" w:w="9360"/>
        <w:tblBorders>
          <w:top w:val="single" w:color="A6A6A6" w:sz="4"/>
          <w:left w:val="single" w:color="A6A6A6" w:sz="4"/>
          <w:bottom w:val="single" w:color="A6A6A6" w:sz="4"/>
          <w:right w:val="single" w:color="A6A6A6" w:sz="4"/>
          <w:insideH w:val="single" w:color="A6A6A6" w:sz="4"/>
          <w:insideV w:val="single" w:color="A6A6A6" w:sz="4"/>
        </w:tblBorders>
      </w:tblPr>
      <w:tblGrid>
        <w:gridCol w:w="1100"/>
        <w:gridCol w:w="1700"/>
        <w:gridCol w:w="2200"/>
        <w:gridCol w:w="4360"/>
      </w:tblGrid>
      <w:tr>
        <w:trPr>
          <w:tblHeader/>
        </w:trPr>
        <w:tc>
          <w:tcPr>
            <w:tcW w:type="dxa" w:w="1100"/>
            <w:shd w:fill="D9D9D9" w:color="auto" w:val="clear"/>
            <w:tcMar>
              <w:top w:type="dxa" w:w="60"/>
              <w:left w:type="dxa" w:w="100"/>
              <w:bottom w:type="dxa" w:w="60"/>
              <w:right w:type="dxa" w:w="100"/>
            </w:tcMar>
            <w:vAlign w:val="center"/>
          </w:tcPr>
          <w:p>
            <w:pPr>
              <w:spacing w:after="0"/>
            </w:pPr>
            <w:r>
              <w:rPr>
                <w:rFonts w:ascii="Arial" w:cs="Arial" w:eastAsia="Arial" w:hAnsi="Arial"/>
                <w:b/>
                <w:bCs/>
                <w:sz w:val="19"/>
                <w:szCs w:val="19"/>
              </w:rPr>
              <w:t xml:space="preserve">Version</w:t>
            </w:r>
          </w:p>
        </w:tc>
        <w:tc>
          <w:tcPr>
            <w:tcW w:type="dxa" w:w="1700"/>
            <w:shd w:fill="D9D9D9" w:color="auto" w:val="clear"/>
            <w:tcMar>
              <w:top w:type="dxa" w:w="60"/>
              <w:left w:type="dxa" w:w="100"/>
              <w:bottom w:type="dxa" w:w="60"/>
              <w:right w:type="dxa" w:w="100"/>
            </w:tcMar>
            <w:vAlign w:val="center"/>
          </w:tcPr>
          <w:p>
            <w:pPr>
              <w:spacing w:after="0"/>
            </w:pPr>
            <w:r>
              <w:rPr>
                <w:rFonts w:ascii="Arial" w:cs="Arial" w:eastAsia="Arial" w:hAnsi="Arial"/>
                <w:b/>
                <w:bCs/>
                <w:sz w:val="19"/>
                <w:szCs w:val="19"/>
              </w:rPr>
              <w:t xml:space="preserve">Date</w:t>
            </w:r>
          </w:p>
        </w:tc>
        <w:tc>
          <w:tcPr>
            <w:tcW w:type="dxa" w:w="2200"/>
            <w:shd w:fill="D9D9D9" w:color="auto" w:val="clear"/>
            <w:tcMar>
              <w:top w:type="dxa" w:w="60"/>
              <w:left w:type="dxa" w:w="100"/>
              <w:bottom w:type="dxa" w:w="60"/>
              <w:right w:type="dxa" w:w="100"/>
            </w:tcMar>
            <w:vAlign w:val="center"/>
          </w:tcPr>
          <w:p>
            <w:pPr>
              <w:spacing w:after="0"/>
            </w:pPr>
            <w:r>
              <w:rPr>
                <w:rFonts w:ascii="Arial" w:cs="Arial" w:eastAsia="Arial" w:hAnsi="Arial"/>
                <w:b/>
                <w:bCs/>
                <w:sz w:val="19"/>
                <w:szCs w:val="19"/>
              </w:rPr>
              <w:t xml:space="preserve">Author</w:t>
            </w:r>
          </w:p>
        </w:tc>
        <w:tc>
          <w:tcPr>
            <w:tcW w:type="dxa" w:w="4360"/>
            <w:shd w:fill="D9D9D9" w:color="auto" w:val="clear"/>
            <w:tcMar>
              <w:top w:type="dxa" w:w="60"/>
              <w:left w:type="dxa" w:w="100"/>
              <w:bottom w:type="dxa" w:w="60"/>
              <w:right w:type="dxa" w:w="100"/>
            </w:tcMar>
            <w:vAlign w:val="center"/>
          </w:tcPr>
          <w:p>
            <w:pPr>
              <w:spacing w:after="0"/>
            </w:pPr>
            <w:r>
              <w:rPr>
                <w:rFonts w:ascii="Arial" w:cs="Arial" w:eastAsia="Arial" w:hAnsi="Arial"/>
                <w:b/>
                <w:bCs/>
                <w:sz w:val="19"/>
                <w:szCs w:val="19"/>
              </w:rPr>
              <w:t xml:space="preserve">Summary of changes</w:t>
            </w:r>
          </w:p>
        </w:tc>
      </w:tr>
      <w:tr>
        <w:trPr>
          <w:tblHeader w:val="false"/>
        </w:trPr>
        <w:tc>
          <w:tcPr>
            <w:tcW w:type="dxa" w:w="110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1.0</w:t>
            </w:r>
          </w:p>
        </w:tc>
        <w:tc>
          <w:tcPr>
            <w:tcW w:type="dxa" w:w="170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18 October 2021</w:t>
            </w:r>
          </w:p>
        </w:tc>
        <w:tc>
          <w:tcPr>
            <w:tcW w:type="dxa" w:w="220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P. Raman</w:t>
            </w:r>
          </w:p>
        </w:tc>
        <w:tc>
          <w:tcPr>
            <w:tcW w:type="dxa" w:w="436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Initial issue</w:t>
            </w:r>
          </w:p>
        </w:tc>
      </w:tr>
      <w:tr>
        <w:trPr>
          <w:tblHeader w:val="false"/>
        </w:trPr>
        <w:tc>
          <w:tcPr>
            <w:tcW w:type="dxa" w:w="110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2.0</w:t>
            </w:r>
          </w:p>
        </w:tc>
        <w:tc>
          <w:tcPr>
            <w:tcW w:type="dxa" w:w="170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20 January 2025</w:t>
            </w:r>
          </w:p>
        </w:tc>
        <w:tc>
          <w:tcPr>
            <w:tcW w:type="dxa" w:w="220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P. Raman</w:t>
            </w:r>
          </w:p>
        </w:tc>
        <w:tc>
          <w:tcPr>
            <w:tcW w:type="dxa" w:w="436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Added Ireland DR environment; updated recovery objectives</w:t>
            </w:r>
          </w:p>
        </w:tc>
      </w:tr>
      <w:tr>
        <w:trPr>
          <w:tblHeader w:val="false"/>
        </w:trPr>
        <w:tc>
          <w:tcPr>
            <w:tcW w:type="dxa" w:w="110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2.1</w:t>
            </w:r>
          </w:p>
        </w:tc>
        <w:tc>
          <w:tcPr>
            <w:tcW w:type="dxa" w:w="170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10 January 2026</w:t>
            </w:r>
          </w:p>
        </w:tc>
        <w:tc>
          <w:tcPr>
            <w:tcW w:type="dxa" w:w="220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P. Raman</w:t>
            </w:r>
          </w:p>
        </w:tc>
        <w:tc>
          <w:tcPr>
            <w:tcW w:type="dxa" w:w="436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Annual review; updated test schedule; added Appendix A</w:t>
            </w:r>
          </w:p>
        </w:tc>
      </w:tr>
    </w:tbl>
    <w:sectPr>
      <w:headerReference w:type="default" r:id="rId7"/>
      <w:footerReference w:type="default" r:id="rId8"/>
      <w:pgSz w:w="11906" w:h="16838" w:orient="portrait"/>
      <w:pgMar w:top="13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Veltrix Onboard Pte. Ltd. — Confidential — Provided to Northgate Bank (Asia) Limited under NDA</w:t>
    </w:r>
    <w:r>
      <w:rPr>
        <w:rFonts w:ascii="Arial" w:cs="Arial" w:eastAsia="Arial" w:hAnsi="Arial"/>
        <w:color w:val="808080"/>
        <w:sz w:val="16"/>
        <w:szCs w:val="16"/>
      </w:rPr>
      <w:t xml:space="preserve">   Page </w:t>
    </w:r>
    <w:r>
      <w:rPr>
        <w:rFonts w:ascii="Arial" w:cs="Arial" w:eastAsia="Arial" w:hAnsi="Arial"/>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08080"/>
        <w:sz w:val="16"/>
        <w:szCs w:val="16"/>
      </w:rPr>
      <w:t xml:space="preserve">Business Continuity and Disaster Recovery Policy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1F3A5F"/>
      <w:sz w:val="30"/>
      <w:szCs w:val="30"/>
    </w:rPr>
  </w:style>
  <w:style w:type="paragraph" w:styleId="Heading2">
    <w:name w:val="Heading 2"/>
    <w:basedOn w:val="Normal"/>
    <w:next w:val="Normal"/>
    <w:qFormat/>
    <w:pPr>
      <w:outlineLvl w:val="1"/>
    </w:pPr>
    <w:rPr>
      <w:rFonts w:ascii="Arial" w:cs="Arial" w:eastAsia="Arial" w:hAnsi="Arial"/>
      <w:b/>
      <w:bCs/>
      <w:color w:val="1F3A5F"/>
      <w:sz w:val="25"/>
      <w:szCs w:val="25"/>
    </w:rPr>
  </w:style>
  <w:style w:type="paragraph" w:styleId="Heading3">
    <w:name w:val="Heading 3"/>
    <w:basedOn w:val="Normal"/>
    <w:next w:val="Normal"/>
    <w:qFormat/>
    <w:pPr>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Continuity and Disaster Recovery Policy</dc:title>
  <dc:creator>Veltrix Onboard Pte. Ltd.</dc:creator>
  <cp:lastModifiedBy>Un-named</cp:lastModifiedBy>
  <cp:revision>1</cp:revision>
  <dcterms:created xsi:type="dcterms:W3CDTF">2026-09-02T00:26:23.899Z</dcterms:created>
  <dcterms:modified xsi:type="dcterms:W3CDTF">2026-09-02T00:26:23.899Z</dcterms:modified>
</cp:coreProperties>
</file>

<file path=docProps/custom.xml><?xml version="1.0" encoding="utf-8"?>
<Properties xmlns="http://schemas.openxmlformats.org/officeDocument/2006/custom-properties" xmlns:vt="http://schemas.openxmlformats.org/officeDocument/2006/docPropsVTypes"/>
</file>