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BUSINESS CONTINUITY AND DISASTER RECOVERY POLICY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6"/>
        </w:rPr>
        <w:t>GlobalTalent HR Solutions LLC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Document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INTERNAL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v0.9 (DRAFT)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Effective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2023-01-12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Owner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Founder/CTO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Never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type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Not tested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Recovery objectives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Best effort. No formal RTO/RPO.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Purpose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This Business Continuity and Disaster Recovery Policy ('the BCP/DR Policy') establishes the principles, recovery objectives and tested capabilities for GlobalTalent HR Solutions LLC to resume critical operations following an operational disruption.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BCP/DR Policy applies to all production services and supporting corporate functions.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Recovery Objectives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Best effort. No formal RTO/RPO.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Roles and Responsibilities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Head of Operational Resilience owns the BCP. Service Owners are accountable for tier-specific recovery plans. The CISO is accountable for cyber-resilience scenarios.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Founder/CTO holds all of the above accountabilities at this time.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Strategy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Production operates in us-central-1 (Iowa). No alternate region is provisioned at this time. Recovery from regional outage relies on AWS-provided cross-AZ resilience.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Backup and Recovery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6.2 Restore Testing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Restore tests are performed when material configuration changes are made. The Company has not formalised a restore-test cadence.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Test Programme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Last test: Never (Not tested).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Formal BCP testing has not been performed.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8. Cyber-Specific Disruption Scenarios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Cyber-disruption scenarios are exercised separately from natural-disaster scenarios. Scenarios cover ransomware, malicious insider, third-party compromise, supply-chain attack and DDoS.</w:t>
      </w:r>
    </w:p>
    <w:p>
      <w:pPr>
        <w:spacing w:after="120"/>
      </w:pPr>
      <w:r>
        <w:rPr>
          <w:rFonts w:ascii="Arial" w:hAnsi="Arial" w:eastAsia="Arial"/>
          <w:b w:val="0"/>
          <w:i/>
          <w:color w:val="595959"/>
          <w:sz w:val="22"/>
        </w:rPr>
        <w:t>[DRAFT] - Cyber-specific scenarios have not yet been formalised.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9. Document Control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approved by: Founder/CTO, Brendan Murray.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version: v0.9 (DRAFT).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Next review: 2024-01-12.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