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Arial"/>
          <w:b/>
          <w:i w:val="0"/>
          <w:color w:val="1F4E78"/>
          <w:sz w:val="44"/>
        </w:rPr>
        <w:t>INFORMATION SECURITY POLICY</w:t>
      </w:r>
    </w:p>
    <w:p>
      <w:pPr>
        <w:spacing w:after="360"/>
        <w:jc w:val="center"/>
      </w:pPr>
      <w:r>
        <w:rPr>
          <w:rFonts w:ascii="Arial" w:hAnsi="Arial" w:eastAsia="Arial"/>
          <w:b w:val="0"/>
          <w:i w:val="0"/>
          <w:color w:val="404040"/>
          <w:sz w:val="28"/>
        </w:rPr>
        <w:t>GlobalTalent HR Solutions LLC</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rFonts w:ascii="Arial" w:hAnsi="Arial" w:eastAsia="Arial"/>
                <w:b/>
                <w:i w:val="0"/>
                <w:sz w:val="22"/>
              </w:rPr>
              <w:t>Document classification</w:t>
            </w:r>
          </w:p>
        </w:tc>
        <w:tc>
          <w:tcPr>
            <w:tcW w:type="dxa" w:w="6480"/>
          </w:tcPr>
          <w:p>
            <w:r/>
            <w:r>
              <w:rPr>
                <w:rFonts w:ascii="Arial" w:hAnsi="Arial" w:eastAsia="Arial"/>
                <w:b w:val="0"/>
                <w:i w:val="0"/>
                <w:sz w:val="22"/>
              </w:rPr>
              <w:t>INTERNAL</w:t>
            </w:r>
          </w:p>
        </w:tc>
      </w:tr>
      <w:tr>
        <w:tc>
          <w:tcPr>
            <w:tcW w:type="dxa" w:w="2880"/>
          </w:tcPr>
          <w:p>
            <w:r/>
            <w:r>
              <w:rPr>
                <w:rFonts w:ascii="Arial" w:hAnsi="Arial" w:eastAsia="Arial"/>
                <w:b/>
                <w:i w:val="0"/>
                <w:sz w:val="22"/>
              </w:rPr>
              <w:t>Version</w:t>
            </w:r>
          </w:p>
        </w:tc>
        <w:tc>
          <w:tcPr>
            <w:tcW w:type="dxa" w:w="6480"/>
          </w:tcPr>
          <w:p>
            <w:r/>
            <w:r>
              <w:rPr>
                <w:rFonts w:ascii="Arial" w:hAnsi="Arial" w:eastAsia="Arial"/>
                <w:b w:val="0"/>
                <w:i w:val="0"/>
                <w:sz w:val="22"/>
              </w:rPr>
              <w:t>v1.2</w:t>
            </w:r>
          </w:p>
        </w:tc>
      </w:tr>
      <w:tr>
        <w:tc>
          <w:tcPr>
            <w:tcW w:type="dxa" w:w="2880"/>
          </w:tcPr>
          <w:p>
            <w:r/>
            <w:r>
              <w:rPr>
                <w:rFonts w:ascii="Arial" w:hAnsi="Arial" w:eastAsia="Arial"/>
                <w:b/>
                <w:i w:val="0"/>
                <w:sz w:val="22"/>
              </w:rPr>
              <w:t>Effective date</w:t>
            </w:r>
          </w:p>
        </w:tc>
        <w:tc>
          <w:tcPr>
            <w:tcW w:type="dxa" w:w="6480"/>
          </w:tcPr>
          <w:p>
            <w:r/>
            <w:r>
              <w:rPr>
                <w:rFonts w:ascii="Arial" w:hAnsi="Arial" w:eastAsia="Arial"/>
                <w:b w:val="0"/>
                <w:i w:val="0"/>
                <w:sz w:val="22"/>
              </w:rPr>
              <w:t>2023-01-12</w:t>
            </w:r>
          </w:p>
        </w:tc>
      </w:tr>
      <w:tr>
        <w:tc>
          <w:tcPr>
            <w:tcW w:type="dxa" w:w="2880"/>
          </w:tcPr>
          <w:p>
            <w:r/>
            <w:r>
              <w:rPr>
                <w:rFonts w:ascii="Arial" w:hAnsi="Arial" w:eastAsia="Arial"/>
                <w:b/>
                <w:i w:val="0"/>
                <w:sz w:val="22"/>
              </w:rPr>
              <w:t>Owner</w:t>
            </w:r>
          </w:p>
        </w:tc>
        <w:tc>
          <w:tcPr>
            <w:tcW w:type="dxa" w:w="6480"/>
          </w:tcPr>
          <w:p>
            <w:r/>
            <w:r>
              <w:rPr>
                <w:rFonts w:ascii="Arial" w:hAnsi="Arial" w:eastAsia="Arial"/>
                <w:b w:val="0"/>
                <w:i w:val="0"/>
                <w:sz w:val="22"/>
              </w:rPr>
              <w:t>Chief Information Security Officer</w:t>
            </w:r>
          </w:p>
        </w:tc>
      </w:tr>
      <w:tr>
        <w:tc>
          <w:tcPr>
            <w:tcW w:type="dxa" w:w="2880"/>
          </w:tcPr>
          <w:p>
            <w:r/>
            <w:r>
              <w:rPr>
                <w:rFonts w:ascii="Arial" w:hAnsi="Arial" w:eastAsia="Arial"/>
                <w:b/>
                <w:i w:val="0"/>
                <w:sz w:val="22"/>
              </w:rPr>
              <w:t>Approver</w:t>
            </w:r>
          </w:p>
        </w:tc>
        <w:tc>
          <w:tcPr>
            <w:tcW w:type="dxa" w:w="6480"/>
          </w:tcPr>
          <w:p>
            <w:r/>
            <w:r>
              <w:rPr>
                <w:rFonts w:ascii="Arial" w:hAnsi="Arial" w:eastAsia="Arial"/>
                <w:b w:val="0"/>
                <w:i w:val="0"/>
                <w:sz w:val="22"/>
              </w:rPr>
              <w:t>Founder/CTO, Brendan Murray</w:t>
            </w:r>
          </w:p>
        </w:tc>
      </w:tr>
      <w:tr>
        <w:tc>
          <w:tcPr>
            <w:tcW w:type="dxa" w:w="2880"/>
          </w:tcPr>
          <w:p>
            <w:r/>
            <w:r>
              <w:rPr>
                <w:rFonts w:ascii="Arial" w:hAnsi="Arial" w:eastAsia="Arial"/>
                <w:b/>
                <w:i w:val="0"/>
                <w:sz w:val="22"/>
              </w:rPr>
              <w:t>Review cycle</w:t>
            </w:r>
          </w:p>
        </w:tc>
        <w:tc>
          <w:tcPr>
            <w:tcW w:type="dxa" w:w="6480"/>
          </w:tcPr>
          <w:p>
            <w:r/>
            <w:r>
              <w:rPr>
                <w:rFonts w:ascii="Arial" w:hAnsi="Arial" w:eastAsia="Arial"/>
                <w:b w:val="0"/>
                <w:i w:val="0"/>
                <w:sz w:val="22"/>
              </w:rPr>
              <w:t>Annual or upon material change</w:t>
            </w:r>
          </w:p>
        </w:tc>
      </w:tr>
      <w:tr>
        <w:tc>
          <w:tcPr>
            <w:tcW w:type="dxa" w:w="2880"/>
          </w:tcPr>
          <w:p>
            <w:r/>
            <w:r>
              <w:rPr>
                <w:rFonts w:ascii="Arial" w:hAnsi="Arial" w:eastAsia="Arial"/>
                <w:b/>
                <w:i w:val="0"/>
                <w:sz w:val="22"/>
              </w:rPr>
              <w:t>Next scheduled review</w:t>
            </w:r>
          </w:p>
        </w:tc>
        <w:tc>
          <w:tcPr>
            <w:tcW w:type="dxa" w:w="6480"/>
          </w:tcPr>
          <w:p>
            <w:r/>
            <w:r>
              <w:rPr>
                <w:rFonts w:ascii="Arial" w:hAnsi="Arial" w:eastAsia="Arial"/>
                <w:b w:val="0"/>
                <w:i w:val="0"/>
                <w:sz w:val="22"/>
              </w:rPr>
              <w:t>2024-01-12</w:t>
            </w:r>
          </w:p>
        </w:tc>
      </w:tr>
      <w:tr>
        <w:tc>
          <w:tcPr>
            <w:tcW w:type="dxa" w:w="2880"/>
          </w:tcPr>
          <w:p>
            <w:r/>
            <w:r>
              <w:rPr>
                <w:rFonts w:ascii="Arial" w:hAnsi="Arial" w:eastAsia="Arial"/>
                <w:b/>
                <w:i w:val="0"/>
                <w:sz w:val="22"/>
              </w:rPr>
              <w:t>Distribution</w:t>
            </w:r>
          </w:p>
        </w:tc>
        <w:tc>
          <w:tcPr>
            <w:tcW w:type="dxa" w:w="6480"/>
          </w:tcPr>
          <w:p>
            <w:r/>
            <w:r>
              <w:rPr>
                <w:rFonts w:ascii="Arial" w:hAnsi="Arial" w:eastAsia="Arial"/>
                <w:b w:val="0"/>
                <w:i w:val="0"/>
                <w:sz w:val="22"/>
              </w:rPr>
              <w:t>All employees, contractors and authorised agents</w:t>
            </w:r>
          </w:p>
        </w:tc>
      </w:tr>
    </w:tbl>
    <w:p/>
    <w:p>
      <w:pPr>
        <w:keepNext/>
        <w:spacing w:before="240" w:after="120"/>
      </w:pPr>
      <w:r>
        <w:rPr>
          <w:rFonts w:ascii="Arial" w:hAnsi="Arial" w:eastAsia="Arial"/>
          <w:b/>
          <w:i w:val="0"/>
          <w:color w:val="1F4E78"/>
          <w:sz w:val="32"/>
        </w:rPr>
        <w:t>1. Purpose and Scope</w:t>
      </w:r>
    </w:p>
    <w:p>
      <w:pPr>
        <w:spacing w:after="120"/>
      </w:pPr>
      <w:r>
        <w:rPr>
          <w:rFonts w:ascii="Arial" w:hAnsi="Arial" w:eastAsia="Arial"/>
          <w:b w:val="0"/>
          <w:i w:val="0"/>
          <w:sz w:val="22"/>
        </w:rPr>
        <w:t>This Information Security Policy (this 'Policy') establishes the principles, requirements and responsibilities for the protection of information assets owned, processed or controlled by GlobalTalent HR Solutions LLC (the 'Company'). It applies to all employees, contractors, third-party service providers and any other parties with access to the Company's information assets or systems.</w:t>
      </w:r>
    </w:p>
    <w:p>
      <w:pPr>
        <w:keepNext/>
        <w:spacing w:before="240" w:after="120"/>
      </w:pPr>
      <w:r>
        <w:rPr>
          <w:rFonts w:ascii="Arial" w:hAnsi="Arial" w:eastAsia="Arial"/>
          <w:b/>
          <w:i w:val="0"/>
          <w:color w:val="1F4E78"/>
          <w:sz w:val="32"/>
        </w:rPr>
        <w:t>2. Governance and Roles</w:t>
      </w:r>
    </w:p>
    <w:p>
      <w:pPr>
        <w:keepNext/>
        <w:spacing w:before="120" w:after="40"/>
      </w:pPr>
      <w:r>
        <w:rPr>
          <w:rFonts w:ascii="Arial" w:hAnsi="Arial" w:eastAsia="Arial"/>
          <w:b/>
          <w:i w:val="0"/>
          <w:color w:val="404040"/>
          <w:sz w:val="22"/>
        </w:rPr>
        <w:t>2.1 Information Security Steering Committee</w:t>
      </w:r>
    </w:p>
    <w:p>
      <w:pPr>
        <w:spacing w:after="120"/>
      </w:pPr>
      <w:r>
        <w:rPr>
          <w:rFonts w:ascii="Arial" w:hAnsi="Arial" w:eastAsia="Arial"/>
          <w:b w:val="0"/>
          <w:i w:val="0"/>
          <w:sz w:val="22"/>
        </w:rPr>
        <w:t>Security oversight is exercised by the Founder/CTO with monthly review of operational matters. Formal steering committee not in place.</w:t>
      </w:r>
    </w:p>
    <w:p>
      <w:pPr>
        <w:keepNext/>
        <w:spacing w:before="120" w:after="40"/>
      </w:pPr>
      <w:r>
        <w:rPr>
          <w:rFonts w:ascii="Arial" w:hAnsi="Arial" w:eastAsia="Arial"/>
          <w:b/>
          <w:i w:val="0"/>
          <w:color w:val="404040"/>
          <w:sz w:val="22"/>
        </w:rPr>
        <w:t>2.2 Three Lines of Defence</w:t>
      </w:r>
    </w:p>
    <w:p>
      <w:pPr>
        <w:spacing w:after="120"/>
      </w:pPr>
      <w:r>
        <w:rPr>
          <w:rFonts w:ascii="Arial" w:hAnsi="Arial" w:eastAsia="Arial"/>
          <w:b w:val="0"/>
          <w:i w:val="0"/>
          <w:sz w:val="22"/>
        </w:rPr>
        <w:t>The Company operates a three-lines-of-defence model. The 1st line consists of business and operations functions which own primary control execution. The 2nd line is the Information Security and Compliance functions which design and monitor controls. The 3rd line is the Internal Audit function which independently assures control operation.</w:t>
      </w:r>
    </w:p>
    <w:p>
      <w:pPr>
        <w:keepNext/>
        <w:spacing w:before="240" w:after="120"/>
      </w:pPr>
      <w:r>
        <w:rPr>
          <w:rFonts w:ascii="Arial" w:hAnsi="Arial" w:eastAsia="Arial"/>
          <w:b/>
          <w:i w:val="0"/>
          <w:color w:val="1F4E78"/>
          <w:sz w:val="32"/>
        </w:rPr>
        <w:t>3. Risk Management</w:t>
      </w:r>
    </w:p>
    <w:p>
      <w:pPr>
        <w:spacing w:after="120"/>
      </w:pPr>
      <w:r>
        <w:rPr>
          <w:rFonts w:ascii="Arial" w:hAnsi="Arial" w:eastAsia="Arial"/>
          <w:b w:val="0"/>
          <w:i w:val="0"/>
          <w:sz w:val="22"/>
        </w:rPr>
        <w:t>Information security risks shall be identified, assessed and treated in accordance with the ISO/IEC 27005 framework. Risks are recorded in the enterprise risk register; risks above the Company's risk appetite are escalated to the Steering Committee for treatment decision.</w:t>
      </w:r>
    </w:p>
    <w:p>
      <w:pPr>
        <w:keepNext/>
        <w:spacing w:before="240" w:after="120"/>
      </w:pPr>
      <w:r>
        <w:rPr>
          <w:rFonts w:ascii="Arial" w:hAnsi="Arial" w:eastAsia="Arial"/>
          <w:b/>
          <w:i w:val="0"/>
          <w:color w:val="1F4E78"/>
          <w:sz w:val="32"/>
        </w:rPr>
        <w:t>4. Subordinate Policies</w:t>
      </w:r>
    </w:p>
    <w:p>
      <w:pPr>
        <w:spacing w:after="120"/>
      </w:pPr>
      <w:r>
        <w:rPr>
          <w:rFonts w:ascii="Arial" w:hAnsi="Arial" w:eastAsia="Arial"/>
          <w:b w:val="0"/>
          <w:i w:val="0"/>
          <w:sz w:val="22"/>
        </w:rPr>
        <w:t>This Policy is supplemented by the following subordinate policies, all of which are in scope of the ISMS:</w:t>
      </w:r>
    </w:p>
    <w:p>
      <w:pPr>
        <w:pStyle w:val="ListBullet"/>
      </w:pPr>
      <w:r>
        <w:rPr>
          <w:rFonts w:ascii="Arial" w:hAnsi="Arial" w:eastAsia="Arial"/>
          <w:b w:val="0"/>
          <w:i w:val="0"/>
          <w:sz w:val="22"/>
        </w:rPr>
        <w:t>Acceptable Use Policy</w:t>
      </w:r>
    </w:p>
    <w:p>
      <w:pPr>
        <w:pStyle w:val="ListBullet"/>
      </w:pPr>
      <w:r>
        <w:rPr>
          <w:rFonts w:ascii="Arial" w:hAnsi="Arial" w:eastAsia="Arial"/>
          <w:b w:val="0"/>
          <w:i w:val="0"/>
          <w:sz w:val="22"/>
        </w:rPr>
        <w:t>Access Control Policy</w:t>
      </w:r>
    </w:p>
    <w:p>
      <w:pPr>
        <w:pStyle w:val="ListBullet"/>
      </w:pPr>
      <w:r>
        <w:rPr>
          <w:rFonts w:ascii="Arial" w:hAnsi="Arial" w:eastAsia="Arial"/>
          <w:b w:val="0"/>
          <w:i w:val="0"/>
          <w:sz w:val="22"/>
        </w:rPr>
        <w:t>Cryptography Policy</w:t>
      </w:r>
    </w:p>
    <w:p>
      <w:pPr>
        <w:pStyle w:val="ListBullet"/>
      </w:pPr>
      <w:r>
        <w:rPr>
          <w:rFonts w:ascii="Arial" w:hAnsi="Arial" w:eastAsia="Arial"/>
          <w:b w:val="0"/>
          <w:i w:val="0"/>
          <w:sz w:val="22"/>
        </w:rPr>
        <w:t>Data Classification and Handling Policy</w:t>
      </w:r>
    </w:p>
    <w:p>
      <w:pPr>
        <w:pStyle w:val="ListBullet"/>
      </w:pPr>
      <w:r>
        <w:rPr>
          <w:rFonts w:ascii="Arial" w:hAnsi="Arial" w:eastAsia="Arial"/>
          <w:b w:val="0"/>
          <w:i w:val="0"/>
          <w:sz w:val="22"/>
        </w:rPr>
        <w:t>Vulnerability Management Policy</w:t>
      </w:r>
    </w:p>
    <w:p>
      <w:pPr>
        <w:pStyle w:val="ListBullet"/>
      </w:pPr>
      <w:r>
        <w:rPr>
          <w:rFonts w:ascii="Arial" w:hAnsi="Arial" w:eastAsia="Arial"/>
          <w:b w:val="0"/>
          <w:i w:val="0"/>
          <w:sz w:val="22"/>
        </w:rPr>
        <w:t>Change Management Policy</w:t>
      </w:r>
    </w:p>
    <w:p>
      <w:pPr>
        <w:pStyle w:val="ListBullet"/>
      </w:pPr>
      <w:r>
        <w:rPr>
          <w:rFonts w:ascii="Arial" w:hAnsi="Arial" w:eastAsia="Arial"/>
          <w:b w:val="0"/>
          <w:i w:val="0"/>
          <w:sz w:val="22"/>
        </w:rPr>
        <w:t>Logging and Monitoring Policy</w:t>
      </w:r>
    </w:p>
    <w:p>
      <w:pPr>
        <w:pStyle w:val="ListBullet"/>
      </w:pPr>
      <w:r>
        <w:rPr>
          <w:rFonts w:ascii="Arial" w:hAnsi="Arial" w:eastAsia="Arial"/>
          <w:b w:val="0"/>
          <w:i w:val="0"/>
          <w:sz w:val="22"/>
        </w:rPr>
        <w:t>Incident Response Policy</w:t>
      </w:r>
    </w:p>
    <w:p>
      <w:pPr>
        <w:pStyle w:val="ListBullet"/>
      </w:pPr>
      <w:r>
        <w:rPr>
          <w:rFonts w:ascii="Arial" w:hAnsi="Arial" w:eastAsia="Arial"/>
          <w:b w:val="0"/>
          <w:i w:val="0"/>
          <w:sz w:val="22"/>
        </w:rPr>
        <w:t>Business Continuity and Disaster Recovery Policy (separate document)</w:t>
      </w:r>
    </w:p>
    <w:p>
      <w:pPr>
        <w:pStyle w:val="ListBullet"/>
      </w:pPr>
      <w:r>
        <w:rPr>
          <w:rFonts w:ascii="Arial" w:hAnsi="Arial" w:eastAsia="Arial"/>
          <w:b w:val="0"/>
          <w:i w:val="0"/>
          <w:sz w:val="22"/>
        </w:rPr>
        <w:t>Third-Party Risk Management Policy</w:t>
      </w:r>
    </w:p>
    <w:p>
      <w:pPr>
        <w:pStyle w:val="ListBullet"/>
      </w:pPr>
      <w:r>
        <w:rPr>
          <w:rFonts w:ascii="Arial" w:hAnsi="Arial" w:eastAsia="Arial"/>
          <w:b w:val="0"/>
          <w:i w:val="0"/>
          <w:sz w:val="22"/>
        </w:rPr>
        <w:t>Secure Software Development Policy</w:t>
      </w:r>
    </w:p>
    <w:p>
      <w:pPr>
        <w:pStyle w:val="ListBullet"/>
      </w:pPr>
      <w:r>
        <w:rPr>
          <w:rFonts w:ascii="Arial" w:hAnsi="Arial" w:eastAsia="Arial"/>
          <w:b w:val="0"/>
          <w:i w:val="0"/>
          <w:sz w:val="22"/>
        </w:rPr>
        <w:t>Privacy Policy</w:t>
      </w:r>
    </w:p>
    <w:p>
      <w:pPr>
        <w:keepNext/>
        <w:spacing w:before="240" w:after="120"/>
      </w:pPr>
      <w:r>
        <w:rPr>
          <w:rFonts w:ascii="Arial" w:hAnsi="Arial" w:eastAsia="Arial"/>
          <w:b/>
          <w:i w:val="0"/>
          <w:color w:val="1F4E78"/>
          <w:sz w:val="32"/>
        </w:rPr>
        <w:t>5. Acceptable Use</w:t>
      </w:r>
    </w:p>
    <w:p>
      <w:pPr>
        <w:spacing w:after="120"/>
      </w:pPr>
      <w:r>
        <w:rPr>
          <w:rFonts w:ascii="Arial" w:hAnsi="Arial" w:eastAsia="Arial"/>
          <w:b w:val="0"/>
          <w:i w:val="0"/>
          <w:sz w:val="22"/>
        </w:rPr>
        <w:t>All users shall use Company information assets only for authorised business purposes. Connecting personal devices to production environments is prohibited unless expressly authorised. Users must report suspected security incidents through the documented channels without delay.</w:t>
      </w:r>
    </w:p>
    <w:p>
      <w:pPr>
        <w:keepNext/>
        <w:spacing w:before="240" w:after="120"/>
      </w:pPr>
      <w:r>
        <w:rPr>
          <w:rFonts w:ascii="Arial" w:hAnsi="Arial" w:eastAsia="Arial"/>
          <w:b/>
          <w:i w:val="0"/>
          <w:color w:val="1F4E78"/>
          <w:sz w:val="32"/>
        </w:rPr>
        <w:t>6. Access Control</w:t>
      </w:r>
    </w:p>
    <w:p>
      <w:pPr>
        <w:spacing w:after="120"/>
      </w:pPr>
      <w:r>
        <w:rPr>
          <w:rFonts w:ascii="Arial" w:hAnsi="Arial" w:eastAsia="Arial"/>
          <w:b w:val="0"/>
          <w:i w:val="0"/>
          <w:sz w:val="22"/>
        </w:rPr>
        <w:t>Access is granted on the basis of role. Passwords must be a minimum of 8 characters. Multi-factor authentication is available and recommended for administrative accounts.</w:t>
      </w:r>
    </w:p>
    <w:p>
      <w:pPr>
        <w:spacing w:after="120"/>
      </w:pPr>
      <w:r>
        <w:rPr>
          <w:rFonts w:ascii="Arial" w:hAnsi="Arial" w:eastAsia="Arial"/>
          <w:b w:val="0"/>
          <w:i/>
          <w:color w:val="595959"/>
          <w:sz w:val="22"/>
        </w:rPr>
        <w:t>[Note - this section is currently under review. The Company recognises the need to strengthen authentication controls in line with industry expectations.]</w:t>
      </w:r>
    </w:p>
    <w:p>
      <w:pPr>
        <w:keepNext/>
        <w:spacing w:before="240" w:after="120"/>
      </w:pPr>
      <w:r>
        <w:rPr>
          <w:rFonts w:ascii="Arial" w:hAnsi="Arial" w:eastAsia="Arial"/>
          <w:b/>
          <w:i w:val="0"/>
          <w:color w:val="1F4E78"/>
          <w:sz w:val="32"/>
        </w:rPr>
        <w:t>7. Cryptography</w:t>
      </w:r>
    </w:p>
    <w:p>
      <w:pPr>
        <w:spacing w:after="120"/>
      </w:pPr>
      <w:r>
        <w:rPr>
          <w:rFonts w:ascii="Arial" w:hAnsi="Arial" w:eastAsia="Arial"/>
          <w:b w:val="0"/>
          <w:i w:val="0"/>
          <w:sz w:val="22"/>
        </w:rPr>
        <w:t>Encryption controls are documented in the Cryptography Policy. Minimum standards include:</w:t>
      </w:r>
    </w:p>
    <w:p>
      <w:pPr>
        <w:pStyle w:val="ListBullet"/>
      </w:pPr>
      <w:r>
        <w:rPr>
          <w:rFonts w:ascii="Arial" w:hAnsi="Arial" w:eastAsia="Arial"/>
          <w:b w:val="0"/>
          <w:i w:val="0"/>
          <w:sz w:val="22"/>
        </w:rPr>
        <w:t>Industry-standard encryption at rest using cloud provider defaults.</w:t>
      </w:r>
    </w:p>
    <w:p>
      <w:pPr>
        <w:pStyle w:val="ListBullet"/>
      </w:pPr>
      <w:r>
        <w:rPr>
          <w:rFonts w:ascii="Arial" w:hAnsi="Arial" w:eastAsia="Arial"/>
          <w:b w:val="0"/>
          <w:i w:val="0"/>
          <w:sz w:val="22"/>
        </w:rPr>
        <w:t>HTTPS for browser sessions; SFTP for outbound payroll files.</w:t>
      </w:r>
    </w:p>
    <w:p>
      <w:pPr>
        <w:keepNext/>
        <w:spacing w:before="240" w:after="120"/>
      </w:pPr>
      <w:r>
        <w:rPr>
          <w:rFonts w:ascii="Arial" w:hAnsi="Arial" w:eastAsia="Arial"/>
          <w:b/>
          <w:i w:val="0"/>
          <w:color w:val="1F4E78"/>
          <w:sz w:val="32"/>
        </w:rPr>
        <w:t>8. Third-Party Risk Management</w:t>
      </w:r>
    </w:p>
    <w:p>
      <w:pPr>
        <w:spacing w:after="120"/>
      </w:pPr>
      <w:r>
        <w:rPr>
          <w:rFonts w:ascii="Arial" w:hAnsi="Arial" w:eastAsia="Arial"/>
          <w:b w:val="0"/>
          <w:i w:val="0"/>
          <w:sz w:val="22"/>
        </w:rPr>
        <w:t>All third-party suppliers with access to Company or customer data shall be assessed prior to onboarding and at least annually thereafter. Material sub-processors are disclosed in the Subprocessor List and the executed Data Processing Agreements with customers.</w:t>
      </w:r>
    </w:p>
    <w:p>
      <w:pPr>
        <w:keepNext/>
        <w:spacing w:before="240" w:after="120"/>
      </w:pPr>
      <w:r>
        <w:rPr>
          <w:rFonts w:ascii="Arial" w:hAnsi="Arial" w:eastAsia="Arial"/>
          <w:b/>
          <w:i w:val="0"/>
          <w:color w:val="1F4E78"/>
          <w:sz w:val="32"/>
        </w:rPr>
        <w:t>9. Incident Management</w:t>
      </w:r>
    </w:p>
    <w:p>
      <w:pPr>
        <w:spacing w:after="120"/>
      </w:pPr>
      <w:r>
        <w:rPr>
          <w:rFonts w:ascii="Arial" w:hAnsi="Arial" w:eastAsia="Arial"/>
          <w:b w:val="0"/>
          <w:i w:val="0"/>
          <w:sz w:val="22"/>
        </w:rPr>
        <w:t>Suspected security events shall be reported to the Founder/CTO without delay. The Founder/CTO will coordinate response activities, including any required customer notifications.</w:t>
      </w:r>
    </w:p>
    <w:p>
      <w:pPr>
        <w:keepNext/>
        <w:spacing w:before="240" w:after="120"/>
      </w:pPr>
      <w:r>
        <w:rPr>
          <w:rFonts w:ascii="Arial" w:hAnsi="Arial" w:eastAsia="Arial"/>
          <w:b/>
          <w:i w:val="0"/>
          <w:color w:val="1F4E78"/>
          <w:sz w:val="32"/>
        </w:rPr>
        <w:t>10. Vulnerability and Patch Management</w:t>
      </w:r>
    </w:p>
    <w:p>
      <w:pPr>
        <w:keepNext/>
        <w:spacing w:before="120" w:after="40"/>
      </w:pPr>
      <w:r>
        <w:rPr>
          <w:rFonts w:ascii="Arial" w:hAnsi="Arial" w:eastAsia="Arial"/>
          <w:b/>
          <w:i w:val="0"/>
          <w:color w:val="404040"/>
          <w:sz w:val="22"/>
        </w:rPr>
        <w:t>10.3 Remediation SLAs</w:t>
      </w:r>
    </w:p>
    <w:p>
      <w:pPr>
        <w:spacing w:after="120"/>
      </w:pPr>
      <w:r>
        <w:rPr>
          <w:rFonts w:ascii="Arial" w:hAnsi="Arial" w:eastAsia="Arial"/>
          <w:b w:val="0"/>
          <w:i w:val="0"/>
          <w:sz w:val="22"/>
        </w:rPr>
        <w:t>Vulnerabilities are reviewed by the engineering team and remediated as part of regular release cycles. No formal SLAs are documented at this time.</w:t>
      </w:r>
    </w:p>
    <w:p>
      <w:pPr>
        <w:keepNext/>
        <w:spacing w:before="240" w:after="120"/>
      </w:pPr>
      <w:r>
        <w:rPr>
          <w:rFonts w:ascii="Arial" w:hAnsi="Arial" w:eastAsia="Arial"/>
          <w:b/>
          <w:i w:val="0"/>
          <w:color w:val="1F4E78"/>
          <w:sz w:val="32"/>
        </w:rPr>
        <w:t>11. Penetration Testing and Assurance</w:t>
      </w:r>
    </w:p>
    <w:p>
      <w:pPr>
        <w:keepNext/>
        <w:spacing w:before="120" w:after="40"/>
      </w:pPr>
      <w:r>
        <w:rPr>
          <w:rFonts w:ascii="Arial" w:hAnsi="Arial" w:eastAsia="Arial"/>
          <w:b/>
          <w:i w:val="0"/>
          <w:color w:val="404040"/>
          <w:sz w:val="22"/>
        </w:rPr>
        <w:t>11.4 External Penetration Testing</w:t>
      </w:r>
    </w:p>
    <w:p>
      <w:pPr>
        <w:spacing w:after="120"/>
      </w:pPr>
      <w:r>
        <w:rPr>
          <w:rFonts w:ascii="Arial" w:hAnsi="Arial" w:eastAsia="Arial"/>
          <w:b w:val="0"/>
          <w:i w:val="0"/>
          <w:sz w:val="22"/>
        </w:rPr>
        <w:t>External penetration testing is performed periodically, when feasible.</w:t>
      </w:r>
    </w:p>
    <w:p>
      <w:pPr>
        <w:keepNext/>
        <w:spacing w:before="240" w:after="120"/>
      </w:pPr>
      <w:r>
        <w:rPr>
          <w:rFonts w:ascii="Arial" w:hAnsi="Arial" w:eastAsia="Arial"/>
          <w:b/>
          <w:i w:val="0"/>
          <w:color w:val="1F4E78"/>
          <w:sz w:val="32"/>
        </w:rPr>
        <w:t>12. Privacy and Data Protection</w:t>
      </w:r>
    </w:p>
    <w:p>
      <w:pPr>
        <w:spacing w:after="120"/>
      </w:pPr>
      <w:r>
        <w:rPr>
          <w:rFonts w:ascii="Arial" w:hAnsi="Arial" w:eastAsia="Arial"/>
          <w:b w:val="0"/>
          <w:i w:val="0"/>
          <w:sz w:val="22"/>
        </w:rPr>
        <w:t>Personal data is processed in accordance with the Privacy Policy and applicable data protection laws. Data minimisation, purpose limitation, storage limitation and integrity/confidentiality principles are operationalised via control mappings to ISO 27701 Annex B.</w:t>
      </w:r>
    </w:p>
    <w:p>
      <w:pPr>
        <w:keepNext/>
        <w:spacing w:before="240" w:after="120"/>
      </w:pPr>
      <w:r>
        <w:rPr>
          <w:rFonts w:ascii="Arial" w:hAnsi="Arial" w:eastAsia="Arial"/>
          <w:b/>
          <w:i w:val="0"/>
          <w:color w:val="1F4E78"/>
          <w:sz w:val="32"/>
        </w:rPr>
        <w:t>13. Compliance and Enforcement</w:t>
      </w:r>
    </w:p>
    <w:p>
      <w:pPr>
        <w:spacing w:after="120"/>
      </w:pPr>
      <w:r>
        <w:rPr>
          <w:rFonts w:ascii="Arial" w:hAnsi="Arial" w:eastAsia="Arial"/>
          <w:b w:val="0"/>
          <w:i w:val="0"/>
          <w:sz w:val="22"/>
        </w:rPr>
        <w:t>Non-compliance with this Policy may result in disciplinary action up to and including termination. The CISO (or equivalent) maintains the authority to grant time-limited exceptions, which shall be documented and reviewed quarterly.</w:t>
      </w:r>
    </w:p>
    <w:p>
      <w:pPr>
        <w:keepNext/>
        <w:spacing w:before="240" w:after="120"/>
      </w:pPr>
      <w:r>
        <w:rPr>
          <w:rFonts w:ascii="Arial" w:hAnsi="Arial" w:eastAsia="Arial"/>
          <w:b/>
          <w:i w:val="0"/>
          <w:color w:val="1F4E78"/>
          <w:sz w:val="32"/>
        </w:rPr>
        <w:t>14. Document Control</w:t>
      </w:r>
    </w:p>
    <w:p>
      <w:pPr>
        <w:spacing w:after="120"/>
      </w:pPr>
      <w:r>
        <w:rPr>
          <w:rFonts w:ascii="Arial" w:hAnsi="Arial" w:eastAsia="Arial"/>
          <w:b w:val="0"/>
          <w:i w:val="0"/>
          <w:sz w:val="22"/>
        </w:rPr>
        <w:t>Document approved by: Founder/CTO, Brendan Murray.</w:t>
      </w:r>
    </w:p>
    <w:p>
      <w:pPr>
        <w:spacing w:after="120"/>
      </w:pPr>
      <w:r>
        <w:rPr>
          <w:rFonts w:ascii="Arial" w:hAnsi="Arial" w:eastAsia="Arial"/>
          <w:b w:val="0"/>
          <w:i w:val="0"/>
          <w:sz w:val="22"/>
        </w:rPr>
        <w:t>Approval date: 2023-01-12.</w:t>
      </w:r>
    </w:p>
    <w:p>
      <w:pPr>
        <w:spacing w:after="120"/>
      </w:pPr>
      <w:r>
        <w:rPr>
          <w:rFonts w:ascii="Arial" w:hAnsi="Arial" w:eastAsia="Arial"/>
          <w:b w:val="0"/>
          <w:i w:val="0"/>
          <w:sz w:val="22"/>
        </w:rPr>
        <w:t>Document register reference: ISP-MASTER-001.</w:t>
      </w:r>
    </w:p>
    <w:p>
      <w:pPr>
        <w:spacing w:after="120"/>
      </w:pPr>
      <w:r>
        <w:rPr>
          <w:rFonts w:ascii="Arial" w:hAnsi="Arial" w:eastAsia="Arial"/>
          <w:b w:val="0"/>
          <w:i w:val="0"/>
          <w:sz w:val="22"/>
        </w:rPr>
        <w:t>Next review: 2024-01-12.</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