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ind/>
        <w:jc w:val="left"/>
      </w:pPr>
      <w:r>
        <w:rPr>
          <w:rFonts w:ascii="Arial" w:cs="Arial" w:eastAsia="Arial" w:hAnsi="Arial"/>
          <w:b w:val="false"/>
          <w:bCs w:val="false"/>
          <w:sz w:val="24"/>
          <w:szCs w:val="24"/>
        </w:rPr>
        <w:t xml:space="preserve"/>
      </w:r>
    </w:p>
    <w:p>
      <w:pPr>
        <w:spacing w:after="240" w:before="600"/>
        <w:jc w:val="center"/>
      </w:pPr>
      <w:r>
        <w:rPr>
          <w:b/>
          <w:bCs/>
          <w:sz w:val="40"/>
          <w:szCs w:val="40"/>
        </w:rPr>
        <w:t xml:space="preserve">INFORMATION SECURITY POLICY</w:t>
      </w:r>
    </w:p>
    <w:p>
      <w:pPr>
        <w:spacing w:after="480" w:before="0"/>
        <w:jc w:val="center"/>
      </w:pPr>
      <w:r>
        <w:rPr>
          <w:sz w:val="28"/>
          <w:szCs w:val="28"/>
        </w:rPr>
        <w:t xml:space="preserve">Meridian Data Solutions, Inc.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Document Version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4.2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Effective Date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March 15, 2025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Next Review Date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March 15, 2026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Classification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CONFIDENTIAL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Approved By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David Chen, Chief Information Security Officer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Policy Owner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Information Security Department</w:t>
            </w:r>
          </w:p>
        </w:tc>
      </w:tr>
    </w:tbl>
    <w:p>
      <w:pPr>
        <w:spacing w:after="0" w:before="400"/>
        <w:ind/>
        <w:jc w:val="left"/>
      </w:pPr>
      <w:r>
        <w:rPr>
          <w:rFonts w:ascii="Arial" w:cs="Arial" w:eastAsia="Arial" w:hAnsi="Arial"/>
          <w:b w:val="false"/>
          <w:bCs w:val="false"/>
          <w:sz w:val="24"/>
          <w:szCs w:val="24"/>
        </w:rPr>
        <w:t xml:space="preserve"/>
      </w:r>
    </w:p>
    <w:p>
      <w:r>
        <w:br w:type="page"/>
      </w:r>
    </w:p>
    <w:p>
      <w:pPr>
        <w:pStyle w:val="Heading1"/>
        <w:spacing w:after="120" w:before="240"/>
        <w:ind/>
        <w:jc w:val="left"/>
      </w:pPr>
      <w:r>
        <w:rPr>
          <w:rFonts w:ascii="Arial" w:cs="Arial" w:eastAsia="Arial" w:hAnsi="Arial"/>
          <w:b/>
          <w:bCs/>
          <w:sz w:val="32"/>
          <w:szCs w:val="32"/>
        </w:rPr>
        <w:t xml:space="preserve">TABLE OF CONTENTS</w:t>
      </w:r>
    </w:p>
    <w:p>
      <w:pPr>
        <w:spacing w:after="60" w:before="60"/>
        <w:ind/>
        <w:jc w:val="left"/>
      </w:pPr>
      <w:r>
        <w:rPr>
          <w:rFonts w:ascii="Arial" w:cs="Arial" w:eastAsia="Arial" w:hAnsi="Arial"/>
          <w:b w:val="false"/>
          <w:bCs w:val="false"/>
          <w:sz w:val="24"/>
          <w:szCs w:val="24"/>
        </w:rPr>
        <w:t xml:space="preserve">1. Document Control</w:t>
      </w:r>
    </w:p>
    <w:p>
      <w:pPr>
        <w:spacing w:after="60" w:before="60"/>
        <w:ind/>
        <w:jc w:val="left"/>
      </w:pPr>
      <w:r>
        <w:rPr>
          <w:rFonts w:ascii="Arial" w:cs="Arial" w:eastAsia="Arial" w:hAnsi="Arial"/>
          <w:b w:val="false"/>
          <w:bCs w:val="false"/>
          <w:sz w:val="24"/>
          <w:szCs w:val="24"/>
        </w:rPr>
        <w:t xml:space="preserve">2. Purpose and Scope</w:t>
      </w:r>
    </w:p>
    <w:p>
      <w:pPr>
        <w:spacing w:after="60" w:before="60"/>
        <w:ind/>
        <w:jc w:val="left"/>
      </w:pPr>
      <w:r>
        <w:rPr>
          <w:rFonts w:ascii="Arial" w:cs="Arial" w:eastAsia="Arial" w:hAnsi="Arial"/>
          <w:b w:val="false"/>
          <w:bCs w:val="false"/>
          <w:sz w:val="24"/>
          <w:szCs w:val="24"/>
        </w:rPr>
        <w:t xml:space="preserve">3. Information Security Governance</w:t>
      </w:r>
    </w:p>
    <w:p>
      <w:pPr>
        <w:spacing w:after="60" w:before="60"/>
        <w:ind/>
        <w:jc w:val="left"/>
      </w:pPr>
      <w:r>
        <w:rPr>
          <w:rFonts w:ascii="Arial" w:cs="Arial" w:eastAsia="Arial" w:hAnsi="Arial"/>
          <w:b w:val="false"/>
          <w:bCs w:val="false"/>
          <w:sz w:val="24"/>
          <w:szCs w:val="24"/>
        </w:rPr>
        <w:t xml:space="preserve">4. Risk Management</w:t>
      </w:r>
    </w:p>
    <w:p>
      <w:pPr>
        <w:spacing w:after="60" w:before="60"/>
        <w:ind/>
        <w:jc w:val="left"/>
      </w:pPr>
      <w:r>
        <w:rPr>
          <w:rFonts w:ascii="Arial" w:cs="Arial" w:eastAsia="Arial" w:hAnsi="Arial"/>
          <w:b w:val="false"/>
          <w:bCs w:val="false"/>
          <w:sz w:val="24"/>
          <w:szCs w:val="24"/>
        </w:rPr>
        <w:t xml:space="preserve">5. Asset Management and Classification</w:t>
      </w:r>
    </w:p>
    <w:p>
      <w:pPr>
        <w:spacing w:after="60" w:before="60"/>
        <w:ind/>
        <w:jc w:val="left"/>
      </w:pPr>
      <w:r>
        <w:rPr>
          <w:rFonts w:ascii="Arial" w:cs="Arial" w:eastAsia="Arial" w:hAnsi="Arial"/>
          <w:b w:val="false"/>
          <w:bCs w:val="false"/>
          <w:sz w:val="24"/>
          <w:szCs w:val="24"/>
        </w:rPr>
        <w:t xml:space="preserve">6. Access Control</w:t>
      </w:r>
    </w:p>
    <w:p>
      <w:pPr>
        <w:spacing w:after="60" w:before="60"/>
        <w:ind/>
        <w:jc w:val="left"/>
      </w:pPr>
      <w:r>
        <w:rPr>
          <w:rFonts w:ascii="Arial" w:cs="Arial" w:eastAsia="Arial" w:hAnsi="Arial"/>
          <w:b w:val="false"/>
          <w:bCs w:val="false"/>
          <w:sz w:val="24"/>
          <w:szCs w:val="24"/>
        </w:rPr>
        <w:t xml:space="preserve">7. Network Security</w:t>
      </w:r>
    </w:p>
    <w:p>
      <w:pPr>
        <w:spacing w:after="60" w:before="60"/>
        <w:ind/>
        <w:jc w:val="left"/>
      </w:pPr>
      <w:r>
        <w:rPr>
          <w:rFonts w:ascii="Arial" w:cs="Arial" w:eastAsia="Arial" w:hAnsi="Arial"/>
          <w:b w:val="false"/>
          <w:bCs w:val="false"/>
          <w:sz w:val="24"/>
          <w:szCs w:val="24"/>
        </w:rPr>
        <w:t xml:space="preserve">8. Data Protection and Encryption</w:t>
      </w:r>
    </w:p>
    <w:p>
      <w:pPr>
        <w:spacing w:after="60" w:before="60"/>
        <w:ind/>
        <w:jc w:val="left"/>
      </w:pPr>
      <w:r>
        <w:rPr>
          <w:rFonts w:ascii="Arial" w:cs="Arial" w:eastAsia="Arial" w:hAnsi="Arial"/>
          <w:b w:val="false"/>
          <w:bCs w:val="false"/>
          <w:sz w:val="24"/>
          <w:szCs w:val="24"/>
        </w:rPr>
        <w:t xml:space="preserve">9. Vulnerability Management</w:t>
      </w:r>
    </w:p>
    <w:p>
      <w:pPr>
        <w:spacing w:after="60" w:before="60"/>
        <w:ind/>
        <w:jc w:val="left"/>
      </w:pPr>
      <w:r>
        <w:rPr>
          <w:rFonts w:ascii="Arial" w:cs="Arial" w:eastAsia="Arial" w:hAnsi="Arial"/>
          <w:b w:val="false"/>
          <w:bCs w:val="false"/>
          <w:sz w:val="24"/>
          <w:szCs w:val="24"/>
        </w:rPr>
        <w:t xml:space="preserve">10. Incident Response</w:t>
      </w:r>
    </w:p>
    <w:p>
      <w:pPr>
        <w:spacing w:after="60" w:before="60"/>
        <w:ind/>
        <w:jc w:val="left"/>
      </w:pPr>
      <w:r>
        <w:rPr>
          <w:rFonts w:ascii="Arial" w:cs="Arial" w:eastAsia="Arial" w:hAnsi="Arial"/>
          <w:b w:val="false"/>
          <w:bCs w:val="false"/>
          <w:sz w:val="24"/>
          <w:szCs w:val="24"/>
        </w:rPr>
        <w:t xml:space="preserve">11. Security Awareness and Training</w:t>
      </w:r>
    </w:p>
    <w:p>
      <w:pPr>
        <w:spacing w:after="60" w:before="60"/>
        <w:ind/>
        <w:jc w:val="left"/>
      </w:pPr>
      <w:r>
        <w:rPr>
          <w:rFonts w:ascii="Arial" w:cs="Arial" w:eastAsia="Arial" w:hAnsi="Arial"/>
          <w:b w:val="false"/>
          <w:bCs w:val="false"/>
          <w:sz w:val="24"/>
          <w:szCs w:val="24"/>
        </w:rPr>
        <w:t xml:space="preserve">12. Compliance and Audit</w:t>
      </w:r>
    </w:p>
    <w:p>
      <w:pPr>
        <w:spacing w:after="60" w:before="60"/>
        <w:ind/>
        <w:jc w:val="left"/>
      </w:pPr>
      <w:r>
        <w:rPr>
          <w:rFonts w:ascii="Arial" w:cs="Arial" w:eastAsia="Arial" w:hAnsi="Arial"/>
          <w:b w:val="false"/>
          <w:bCs w:val="false"/>
          <w:sz w:val="24"/>
          <w:szCs w:val="24"/>
        </w:rPr>
        <w:t xml:space="preserve">13. Policy Exceptions</w:t>
      </w:r>
    </w:p>
    <w:p>
      <w:pPr>
        <w:spacing w:after="240" w:before="60"/>
        <w:ind/>
        <w:jc w:val="left"/>
      </w:pPr>
      <w:r>
        <w:rPr>
          <w:rFonts w:ascii="Arial" w:cs="Arial" w:eastAsia="Arial" w:hAnsi="Arial"/>
          <w:b w:val="false"/>
          <w:bCs w:val="false"/>
          <w:sz w:val="24"/>
          <w:szCs w:val="24"/>
        </w:rPr>
        <w:t xml:space="preserve">14. Document History</w:t>
      </w:r>
    </w:p>
    <w:p>
      <w:r>
        <w:br w:type="page"/>
      </w:r>
    </w:p>
    <w:p>
      <w:pPr>
        <w:pStyle w:val="Heading1"/>
        <w:spacing w:after="120" w:before="240"/>
        <w:ind/>
        <w:jc w:val="left"/>
      </w:pPr>
      <w:r>
        <w:rPr>
          <w:rFonts w:ascii="Arial" w:cs="Arial" w:eastAsia="Arial" w:hAnsi="Arial"/>
          <w:b/>
          <w:bCs/>
          <w:sz w:val="32"/>
          <w:szCs w:val="32"/>
        </w:rPr>
        <w:t xml:space="preserve">1. DOCUMENT CONTROL</w:t>
      </w:r>
    </w:p>
    <w:p>
      <w:pPr>
        <w:pStyle w:val="Heading2"/>
        <w:spacing w:after="120" w:before="240"/>
        <w:ind/>
        <w:jc w:val="left"/>
      </w:pPr>
      <w:r>
        <w:rPr>
          <w:rFonts w:ascii="Arial" w:cs="Arial" w:eastAsia="Arial" w:hAnsi="Arial"/>
          <w:b/>
          <w:bCs/>
          <w:sz w:val="28"/>
          <w:szCs w:val="28"/>
        </w:rPr>
        <w:t xml:space="preserve">1.1 Document Identification</w:t>
      </w:r>
    </w:p>
    <w:p>
      <w:pPr>
        <w:spacing w:after="120" w:before="120"/>
        <w:ind/>
        <w:jc w:val="left"/>
      </w:pPr>
      <w:r>
        <w:rPr>
          <w:rFonts w:ascii="Arial" w:cs="Arial" w:eastAsia="Arial" w:hAnsi="Arial"/>
          <w:b w:val="false"/>
          <w:bCs w:val="false"/>
          <w:sz w:val="24"/>
          <w:szCs w:val="24"/>
        </w:rPr>
        <w:t xml:space="preserve">Policy Name: Information Security Policy</w:t>
      </w:r>
    </w:p>
    <w:p>
      <w:pPr>
        <w:spacing w:after="120" w:before="120"/>
        <w:ind/>
        <w:jc w:val="left"/>
      </w:pPr>
      <w:r>
        <w:rPr>
          <w:rFonts w:ascii="Arial" w:cs="Arial" w:eastAsia="Arial" w:hAnsi="Arial"/>
          <w:b w:val="false"/>
          <w:bCs w:val="false"/>
          <w:sz w:val="24"/>
          <w:szCs w:val="24"/>
        </w:rPr>
        <w:t xml:space="preserve">Policy ID: SEC-POL-001</w:t>
      </w:r>
    </w:p>
    <w:p>
      <w:pPr>
        <w:spacing w:after="120" w:before="120"/>
        <w:ind/>
        <w:jc w:val="left"/>
      </w:pPr>
      <w:r>
        <w:rPr>
          <w:rFonts w:ascii="Arial" w:cs="Arial" w:eastAsia="Arial" w:hAnsi="Arial"/>
          <w:b w:val="false"/>
          <w:bCs w:val="false"/>
          <w:sz w:val="24"/>
          <w:szCs w:val="24"/>
        </w:rPr>
        <w:t xml:space="preserve">Version: 4.2</w:t>
      </w:r>
    </w:p>
    <w:p>
      <w:pPr>
        <w:spacing w:after="120" w:before="120"/>
        <w:ind/>
        <w:jc w:val="left"/>
      </w:pPr>
      <w:r>
        <w:rPr>
          <w:rFonts w:ascii="Arial" w:cs="Arial" w:eastAsia="Arial" w:hAnsi="Arial"/>
          <w:b w:val="false"/>
          <w:bCs w:val="false"/>
          <w:sz w:val="24"/>
          <w:szCs w:val="24"/>
        </w:rPr>
        <w:t xml:space="preserve">Effective Date: March 15, 2025</w:t>
      </w:r>
    </w:p>
    <w:p>
      <w:pPr>
        <w:spacing w:after="120" w:before="120"/>
        <w:ind/>
        <w:jc w:val="left"/>
      </w:pPr>
      <w:r>
        <w:rPr>
          <w:rFonts w:ascii="Arial" w:cs="Arial" w:eastAsia="Arial" w:hAnsi="Arial"/>
          <w:b w:val="false"/>
          <w:bCs w:val="false"/>
          <w:sz w:val="24"/>
          <w:szCs w:val="24"/>
        </w:rPr>
        <w:t xml:space="preserve">Next Review Date: March 15, 2026</w:t>
      </w:r>
    </w:p>
    <w:p>
      <w:pPr>
        <w:spacing w:after="120" w:before="120"/>
        <w:ind/>
        <w:jc w:val="left"/>
      </w:pPr>
      <w:r>
        <w:rPr>
          <w:rFonts w:ascii="Arial" w:cs="Arial" w:eastAsia="Arial" w:hAnsi="Arial"/>
          <w:b w:val="false"/>
          <w:bCs w:val="false"/>
          <w:sz w:val="24"/>
          <w:szCs w:val="24"/>
        </w:rPr>
        <w:t xml:space="preserve">Classification Level: CONFIDENTIAL</w:t>
      </w:r>
    </w:p>
    <w:p>
      <w:pPr>
        <w:spacing w:after="200" w:before="0"/>
        <w:ind/>
        <w:jc w:val="left"/>
      </w:pPr>
      <w:r>
        <w:rPr>
          <w:rFonts w:ascii="Arial" w:cs="Arial" w:eastAsia="Arial" w:hAnsi="Arial"/>
          <w:b w:val="false"/>
          <w:bCs w:val="false"/>
          <w:sz w:val="24"/>
          <w:szCs w:val="24"/>
        </w:rPr>
        <w:t xml:space="preserve"/>
      </w:r>
    </w:p>
    <w:p>
      <w:pPr>
        <w:pStyle w:val="Heading2"/>
        <w:spacing w:after="120" w:before="240"/>
        <w:ind/>
        <w:jc w:val="left"/>
      </w:pPr>
      <w:r>
        <w:rPr>
          <w:rFonts w:ascii="Arial" w:cs="Arial" w:eastAsia="Arial" w:hAnsi="Arial"/>
          <w:b/>
          <w:bCs/>
          <w:sz w:val="28"/>
          <w:szCs w:val="28"/>
        </w:rPr>
        <w:t xml:space="preserve">1.2 Approvals and Authority</w:t>
      </w:r>
    </w:p>
    <w:p>
      <w:pPr>
        <w:spacing w:after="120" w:before="120"/>
        <w:ind/>
        <w:jc w:val="left"/>
      </w:pPr>
      <w:r>
        <w:rPr>
          <w:rFonts w:ascii="Arial" w:cs="Arial" w:eastAsia="Arial" w:hAnsi="Arial"/>
          <w:b w:val="false"/>
          <w:bCs w:val="false"/>
          <w:sz w:val="24"/>
          <w:szCs w:val="24"/>
        </w:rPr>
        <w:t xml:space="preserve">Approved By: David Chen, Chief Information Security Officer (CISO)</w:t>
      </w:r>
    </w:p>
    <w:p>
      <w:pPr>
        <w:spacing w:after="120" w:before="120"/>
        <w:ind/>
        <w:jc w:val="left"/>
      </w:pPr>
      <w:r>
        <w:rPr>
          <w:rFonts w:ascii="Arial" w:cs="Arial" w:eastAsia="Arial" w:hAnsi="Arial"/>
          <w:b w:val="false"/>
          <w:bCs w:val="false"/>
          <w:sz w:val="24"/>
          <w:szCs w:val="24"/>
        </w:rPr>
        <w:t xml:space="preserve">Authorized By: Executive Leadership</w:t>
      </w:r>
    </w:p>
    <w:p>
      <w:pPr>
        <w:spacing w:after="120" w:before="120"/>
        <w:ind/>
        <w:jc w:val="left"/>
      </w:pPr>
      <w:r>
        <w:rPr>
          <w:rFonts w:ascii="Arial" w:cs="Arial" w:eastAsia="Arial" w:hAnsi="Arial"/>
          <w:b w:val="false"/>
          <w:bCs w:val="false"/>
          <w:sz w:val="24"/>
          <w:szCs w:val="24"/>
        </w:rPr>
        <w:t xml:space="preserve">Policy Owner: Chief Information Security Officer</w:t>
      </w:r>
    </w:p>
    <w:p>
      <w:pPr>
        <w:spacing w:after="120" w:before="120"/>
        <w:ind/>
        <w:jc w:val="left"/>
      </w:pPr>
      <w:r>
        <w:rPr>
          <w:rFonts w:ascii="Arial" w:cs="Arial" w:eastAsia="Arial" w:hAnsi="Arial"/>
          <w:b w:val="false"/>
          <w:bCs w:val="false"/>
          <w:sz w:val="24"/>
          <w:szCs w:val="24"/>
        </w:rPr>
        <w:t xml:space="preserve">Last Reviewed: March 12, 2025</w:t>
      </w:r>
    </w:p>
    <w:p>
      <w:pPr>
        <w:spacing w:after="200" w:before="0"/>
        <w:ind/>
        <w:jc w:val="left"/>
      </w:pPr>
      <w:r>
        <w:rPr>
          <w:rFonts w:ascii="Arial" w:cs="Arial" w:eastAsia="Arial" w:hAnsi="Arial"/>
          <w:b w:val="false"/>
          <w:bCs w:val="false"/>
          <w:sz w:val="24"/>
          <w:szCs w:val="24"/>
        </w:rPr>
        <w:t xml:space="preserve"/>
      </w:r>
    </w:p>
    <w:p>
      <w:pPr>
        <w:pStyle w:val="Heading1"/>
        <w:spacing w:after="120" w:before="240"/>
        <w:ind/>
        <w:jc w:val="left"/>
      </w:pPr>
      <w:r>
        <w:rPr>
          <w:rFonts w:ascii="Arial" w:cs="Arial" w:eastAsia="Arial" w:hAnsi="Arial"/>
          <w:b/>
          <w:bCs/>
          <w:sz w:val="32"/>
          <w:szCs w:val="32"/>
        </w:rPr>
        <w:t xml:space="preserve">2. PURPOSE AND SCOPE</w:t>
      </w:r>
    </w:p>
    <w:p>
      <w:pPr>
        <w:pStyle w:val="Heading2"/>
        <w:spacing w:after="120" w:before="240"/>
        <w:ind/>
        <w:jc w:val="left"/>
      </w:pPr>
      <w:r>
        <w:rPr>
          <w:rFonts w:ascii="Arial" w:cs="Arial" w:eastAsia="Arial" w:hAnsi="Arial"/>
          <w:b/>
          <w:bCs/>
          <w:sz w:val="28"/>
          <w:szCs w:val="28"/>
        </w:rPr>
        <w:t xml:space="preserve">2.1 Purpose</w:t>
      </w:r>
    </w:p>
    <w:p>
      <w:pPr>
        <w:spacing w:after="120" w:before="120"/>
        <w:ind/>
        <w:jc w:val="left"/>
      </w:pPr>
      <w:r>
        <w:rPr>
          <w:rFonts w:ascii="Arial" w:cs="Arial" w:eastAsia="Arial" w:hAnsi="Arial"/>
          <w:b w:val="false"/>
          <w:bCs w:val="false"/>
          <w:sz w:val="24"/>
          <w:szCs w:val="24"/>
        </w:rPr>
        <w:t xml:space="preserve">This Information Security Policy establishes the framework for protecting the confidentiality, integrity, and availability of Meridian Data Solutions, Inc. information assets. The policy defines security requirements, responsibilities, and expectations for all personnel, contractors, and third parties with access to company systems and data.</w:t>
      </w:r>
    </w:p>
    <w:p>
      <w:pPr>
        <w:spacing w:after="200" w:before="0"/>
        <w:ind/>
        <w:jc w:val="left"/>
      </w:pPr>
      <w:r>
        <w:rPr>
          <w:rFonts w:ascii="Arial" w:cs="Arial" w:eastAsia="Arial" w:hAnsi="Arial"/>
          <w:b w:val="false"/>
          <w:bCs w:val="false"/>
          <w:sz w:val="24"/>
          <w:szCs w:val="24"/>
        </w:rPr>
        <w:t xml:space="preserve"/>
      </w:r>
    </w:p>
    <w:p>
      <w:pPr>
        <w:pStyle w:val="Heading2"/>
        <w:spacing w:after="120" w:before="240"/>
        <w:ind/>
        <w:jc w:val="left"/>
      </w:pPr>
      <w:r>
        <w:rPr>
          <w:rFonts w:ascii="Arial" w:cs="Arial" w:eastAsia="Arial" w:hAnsi="Arial"/>
          <w:b/>
          <w:bCs/>
          <w:sz w:val="28"/>
          <w:szCs w:val="28"/>
        </w:rPr>
        <w:t xml:space="preserve">2.2 Scope</w:t>
      </w:r>
    </w:p>
    <w:p>
      <w:pPr>
        <w:spacing w:after="120" w:before="120"/>
        <w:ind/>
        <w:jc w:val="left"/>
      </w:pPr>
      <w:r>
        <w:rPr>
          <w:rFonts w:ascii="Arial" w:cs="Arial" w:eastAsia="Arial" w:hAnsi="Arial"/>
          <w:b w:val="false"/>
          <w:bCs w:val="false"/>
          <w:sz w:val="24"/>
          <w:szCs w:val="24"/>
        </w:rPr>
        <w:t xml:space="preserve">This policy applies to all employees, contractors, temporary staff, and third-party service providers of Meridian Data Solutions, Inc. It covers all information systems, networks, data, and facilities operated or managed by the company, including cloud infrastructure, on-premises systems, and remote access technologies.</w:t>
      </w:r>
    </w:p>
    <w:p>
      <w:pPr>
        <w:spacing w:after="200" w:before="0"/>
        <w:ind/>
        <w:jc w:val="left"/>
      </w:pPr>
      <w:r>
        <w:rPr>
          <w:rFonts w:ascii="Arial" w:cs="Arial" w:eastAsia="Arial" w:hAnsi="Arial"/>
          <w:b w:val="false"/>
          <w:bCs w:val="false"/>
          <w:sz w:val="24"/>
          <w:szCs w:val="24"/>
        </w:rPr>
        <w:t xml:space="preserve"/>
      </w:r>
    </w:p>
    <w:p>
      <w:pPr>
        <w:pStyle w:val="Heading2"/>
        <w:spacing w:after="120" w:before="240"/>
        <w:ind/>
        <w:jc w:val="left"/>
      </w:pPr>
      <w:r>
        <w:rPr>
          <w:rFonts w:ascii="Arial" w:cs="Arial" w:eastAsia="Arial" w:hAnsi="Arial"/>
          <w:b/>
          <w:bCs/>
          <w:sz w:val="28"/>
          <w:szCs w:val="28"/>
        </w:rPr>
        <w:t xml:space="preserve">2.3 Alignment with Standards</w:t>
      </w:r>
    </w:p>
    <w:p>
      <w:pPr>
        <w:spacing w:after="120" w:before="120"/>
        <w:ind/>
        <w:jc w:val="left"/>
      </w:pPr>
      <w:r>
        <w:rPr>
          <w:rFonts w:ascii="Arial" w:cs="Arial" w:eastAsia="Arial" w:hAnsi="Arial"/>
          <w:b w:val="false"/>
          <w:bCs w:val="false"/>
          <w:sz w:val="24"/>
          <w:szCs w:val="24"/>
        </w:rPr>
        <w:t xml:space="preserve">This policy aligns with ISO/IEC 27001:2022 requirements and incorporates industry best practices for information security management.</w:t>
      </w:r>
    </w:p>
    <w:p>
      <w:pPr>
        <w:spacing w:after="200" w:before="0"/>
        <w:ind/>
        <w:jc w:val="left"/>
      </w:pPr>
      <w:r>
        <w:rPr>
          <w:rFonts w:ascii="Arial" w:cs="Arial" w:eastAsia="Arial" w:hAnsi="Arial"/>
          <w:b w:val="false"/>
          <w:bCs w:val="false"/>
          <w:sz w:val="24"/>
          <w:szCs w:val="24"/>
        </w:rPr>
        <w:t xml:space="preserve"/>
      </w:r>
    </w:p>
    <w:p>
      <w:pPr>
        <w:pStyle w:val="Heading1"/>
        <w:spacing w:after="120" w:before="240"/>
        <w:ind/>
        <w:jc w:val="left"/>
      </w:pPr>
      <w:r>
        <w:rPr>
          <w:rFonts w:ascii="Arial" w:cs="Arial" w:eastAsia="Arial" w:hAnsi="Arial"/>
          <w:b/>
          <w:bCs/>
          <w:sz w:val="32"/>
          <w:szCs w:val="32"/>
        </w:rPr>
        <w:t xml:space="preserve">3. INFORMATION SECURITY GOVERNANCE</w:t>
      </w:r>
    </w:p>
    <w:p>
      <w:pPr>
        <w:pStyle w:val="Heading2"/>
        <w:spacing w:after="120" w:before="240"/>
        <w:ind/>
        <w:jc w:val="left"/>
      </w:pPr>
      <w:r>
        <w:rPr>
          <w:rFonts w:ascii="Arial" w:cs="Arial" w:eastAsia="Arial" w:hAnsi="Arial"/>
          <w:b/>
          <w:bCs/>
          <w:sz w:val="28"/>
          <w:szCs w:val="28"/>
        </w:rPr>
        <w:t xml:space="preserve">3.1 Chief Information Security Officer (CISO)</w:t>
      </w:r>
    </w:p>
    <w:p>
      <w:pPr>
        <w:spacing w:after="120" w:before="120"/>
        <w:ind/>
        <w:jc w:val="left"/>
      </w:pPr>
      <w:r>
        <w:rPr>
          <w:rFonts w:ascii="Arial" w:cs="Arial" w:eastAsia="Arial" w:hAnsi="Arial"/>
          <w:b w:val="false"/>
          <w:bCs w:val="false"/>
          <w:sz w:val="24"/>
          <w:szCs w:val="24"/>
        </w:rPr>
        <w:t xml:space="preserve">The Chief Information Security Officer (CISO) is responsible for:</w:t>
      </w:r>
    </w:p>
    <w:p>
      <w:pPr>
        <w:pStyle w:val="ListParagraph"/>
        <w:numPr>
          <w:ilvl w:val="0"/>
          <w:numId w:val="2"/>
        </w:numPr>
        <w:spacing w:after="120" w:before="120"/>
        <w:ind/>
        <w:jc w:val="left"/>
      </w:pPr>
      <w:r>
        <w:rPr>
          <w:rFonts w:ascii="Arial" w:cs="Arial" w:eastAsia="Arial" w:hAnsi="Arial"/>
          <w:b w:val="false"/>
          <w:bCs w:val="false"/>
          <w:sz w:val="24"/>
          <w:szCs w:val="24"/>
        </w:rPr>
        <w:t xml:space="preserve">Establishing and maintaining the information security strategy and policy framework</w:t>
      </w:r>
    </w:p>
    <w:p>
      <w:pPr>
        <w:pStyle w:val="ListParagraph"/>
        <w:numPr>
          <w:ilvl w:val="0"/>
          <w:numId w:val="2"/>
        </w:numPr>
        <w:spacing w:after="120" w:before="120"/>
        <w:ind/>
        <w:jc w:val="left"/>
      </w:pPr>
      <w:r>
        <w:rPr>
          <w:rFonts w:ascii="Arial" w:cs="Arial" w:eastAsia="Arial" w:hAnsi="Arial"/>
          <w:b w:val="false"/>
          <w:bCs w:val="false"/>
          <w:sz w:val="24"/>
          <w:szCs w:val="24"/>
        </w:rPr>
        <w:t xml:space="preserve">Directing security incident response and business continuity efforts</w:t>
      </w:r>
    </w:p>
    <w:p>
      <w:pPr>
        <w:pStyle w:val="ListParagraph"/>
        <w:numPr>
          <w:ilvl w:val="0"/>
          <w:numId w:val="2"/>
        </w:numPr>
        <w:spacing w:after="120" w:before="120"/>
        <w:ind/>
        <w:jc w:val="left"/>
      </w:pPr>
      <w:r>
        <w:rPr>
          <w:rFonts w:ascii="Arial" w:cs="Arial" w:eastAsia="Arial" w:hAnsi="Arial"/>
          <w:b w:val="false"/>
          <w:bCs w:val="false"/>
          <w:sz w:val="24"/>
          <w:szCs w:val="24"/>
        </w:rPr>
        <w:t xml:space="preserve">Reporting directly to the Executive Leadership regarding security posture and risk</w:t>
      </w:r>
    </w:p>
    <w:p>
      <w:pPr>
        <w:pStyle w:val="ListParagraph"/>
        <w:numPr>
          <w:ilvl w:val="0"/>
          <w:numId w:val="2"/>
        </w:numPr>
        <w:spacing w:after="120" w:before="120"/>
        <w:ind/>
        <w:jc w:val="left"/>
      </w:pPr>
      <w:r>
        <w:rPr>
          <w:rFonts w:ascii="Arial" w:cs="Arial" w:eastAsia="Arial" w:hAnsi="Arial"/>
          <w:b w:val="false"/>
          <w:bCs w:val="false"/>
          <w:sz w:val="24"/>
          <w:szCs w:val="24"/>
        </w:rPr>
        <w:t xml:space="preserve">Ensuring compliance with regulatory requirements and industry standards</w:t>
      </w:r>
    </w:p>
    <w:p>
      <w:pPr>
        <w:spacing w:after="200" w:before="0"/>
        <w:ind/>
        <w:jc w:val="left"/>
      </w:pPr>
      <w:r>
        <w:rPr>
          <w:rFonts w:ascii="Arial" w:cs="Arial" w:eastAsia="Arial" w:hAnsi="Arial"/>
          <w:b w:val="false"/>
          <w:bCs w:val="false"/>
          <w:sz w:val="24"/>
          <w:szCs w:val="24"/>
        </w:rPr>
        <w:t xml:space="preserve"/>
      </w:r>
    </w:p>
    <w:p>
      <w:pPr>
        <w:pStyle w:val="Heading2"/>
        <w:spacing w:after="120" w:before="240"/>
        <w:ind/>
        <w:jc w:val="left"/>
      </w:pPr>
      <w:r>
        <w:rPr>
          <w:rFonts w:ascii="Arial" w:cs="Arial" w:eastAsia="Arial" w:hAnsi="Arial"/>
          <w:b/>
          <w:bCs/>
          <w:sz w:val="28"/>
          <w:szCs w:val="28"/>
        </w:rPr>
        <w:t xml:space="preserve">3.2 Information Security Committee</w:t>
      </w:r>
    </w:p>
    <w:p>
      <w:pPr>
        <w:spacing w:after="120" w:before="120"/>
        <w:ind/>
        <w:jc w:val="left"/>
      </w:pPr>
      <w:r>
        <w:rPr>
          <w:rFonts w:ascii="Arial" w:cs="Arial" w:eastAsia="Arial" w:hAnsi="Arial"/>
          <w:b w:val="false"/>
          <w:bCs w:val="false"/>
          <w:sz w:val="24"/>
          <w:szCs w:val="24"/>
        </w:rPr>
        <w:t xml:space="preserve">A cross-functional Information Security Committee meets quarterly to:</w:t>
      </w:r>
    </w:p>
    <w:p>
      <w:pPr>
        <w:pStyle w:val="ListParagraph"/>
        <w:numPr>
          <w:ilvl w:val="0"/>
          <w:numId w:val="2"/>
        </w:numPr>
        <w:spacing w:after="120" w:before="120"/>
        <w:ind/>
        <w:jc w:val="left"/>
      </w:pPr>
      <w:r>
        <w:rPr>
          <w:rFonts w:ascii="Arial" w:cs="Arial" w:eastAsia="Arial" w:hAnsi="Arial"/>
          <w:b w:val="false"/>
          <w:bCs w:val="false"/>
          <w:sz w:val="24"/>
          <w:szCs w:val="24"/>
        </w:rPr>
        <w:t xml:space="preserve">Review security incidents and remediation efforts</w:t>
      </w:r>
    </w:p>
    <w:p>
      <w:pPr>
        <w:pStyle w:val="ListParagraph"/>
        <w:numPr>
          <w:ilvl w:val="0"/>
          <w:numId w:val="2"/>
        </w:numPr>
        <w:spacing w:after="120" w:before="120"/>
        <w:ind/>
        <w:jc w:val="left"/>
      </w:pPr>
      <w:r>
        <w:rPr>
          <w:rFonts w:ascii="Arial" w:cs="Arial" w:eastAsia="Arial" w:hAnsi="Arial"/>
          <w:b w:val="false"/>
          <w:bCs w:val="false"/>
          <w:sz w:val="24"/>
          <w:szCs w:val="24"/>
        </w:rPr>
        <w:t xml:space="preserve">Assess emerging threats and vulnerability trends</w:t>
      </w:r>
    </w:p>
    <w:p>
      <w:pPr>
        <w:pStyle w:val="ListParagraph"/>
        <w:numPr>
          <w:ilvl w:val="0"/>
          <w:numId w:val="2"/>
        </w:numPr>
        <w:spacing w:after="120" w:before="120"/>
        <w:ind/>
        <w:jc w:val="left"/>
      </w:pPr>
      <w:r>
        <w:rPr>
          <w:rFonts w:ascii="Arial" w:cs="Arial" w:eastAsia="Arial" w:hAnsi="Arial"/>
          <w:b w:val="false"/>
          <w:bCs w:val="false"/>
          <w:sz w:val="24"/>
          <w:szCs w:val="24"/>
        </w:rPr>
        <w:t xml:space="preserve">Evaluate policy effectiveness and recommend updates</w:t>
      </w:r>
    </w:p>
    <w:p>
      <w:pPr>
        <w:pStyle w:val="ListParagraph"/>
        <w:numPr>
          <w:ilvl w:val="0"/>
          <w:numId w:val="2"/>
        </w:numPr>
        <w:spacing w:after="120" w:before="120"/>
        <w:ind/>
        <w:jc w:val="left"/>
      </w:pPr>
      <w:r>
        <w:rPr>
          <w:rFonts w:ascii="Arial" w:cs="Arial" w:eastAsia="Arial" w:hAnsi="Arial"/>
          <w:b w:val="false"/>
          <w:bCs w:val="false"/>
          <w:sz w:val="24"/>
          <w:szCs w:val="24"/>
        </w:rPr>
        <w:t xml:space="preserve">Approve exceptions and security investments</w:t>
      </w:r>
    </w:p>
    <w:p>
      <w:pPr>
        <w:spacing w:after="200" w:before="0"/>
        <w:ind/>
        <w:jc w:val="left"/>
      </w:pPr>
      <w:r>
        <w:rPr>
          <w:rFonts w:ascii="Arial" w:cs="Arial" w:eastAsia="Arial" w:hAnsi="Arial"/>
          <w:b w:val="false"/>
          <w:bCs w:val="false"/>
          <w:sz w:val="24"/>
          <w:szCs w:val="24"/>
        </w:rPr>
        <w:t xml:space="preserve">Committee members include representatives from IT, Legal, Compliance, Operations, and Product Security.</w:t>
      </w:r>
    </w:p>
    <w:p>
      <w:pPr>
        <w:pStyle w:val="Heading2"/>
        <w:spacing w:after="120" w:before="240"/>
        <w:ind/>
        <w:jc w:val="left"/>
      </w:pPr>
      <w:r>
        <w:rPr>
          <w:rFonts w:ascii="Arial" w:cs="Arial" w:eastAsia="Arial" w:hAnsi="Arial"/>
          <w:b/>
          <w:bCs/>
          <w:sz w:val="28"/>
          <w:szCs w:val="28"/>
        </w:rPr>
        <w:t xml:space="preserve">3.3 Individual Accountability</w:t>
      </w:r>
    </w:p>
    <w:p>
      <w:pPr>
        <w:spacing w:after="120" w:before="120"/>
        <w:ind/>
        <w:jc w:val="left"/>
      </w:pPr>
      <w:r>
        <w:rPr>
          <w:rFonts w:ascii="Arial" w:cs="Arial" w:eastAsia="Arial" w:hAnsi="Arial"/>
          <w:b w:val="false"/>
          <w:bCs w:val="false"/>
          <w:sz w:val="24"/>
          <w:szCs w:val="24"/>
        </w:rPr>
        <w:t xml:space="preserve">All personnel are responsible for adhering to this policy and reporting any suspected security incidents or policy violations to the Information Security Department.</w:t>
      </w:r>
    </w:p>
    <w:p>
      <w:pPr>
        <w:spacing w:after="200" w:before="0"/>
        <w:ind/>
        <w:jc w:val="left"/>
      </w:pPr>
      <w:r>
        <w:rPr>
          <w:rFonts w:ascii="Arial" w:cs="Arial" w:eastAsia="Arial" w:hAnsi="Arial"/>
          <w:b w:val="false"/>
          <w:bCs w:val="false"/>
          <w:sz w:val="24"/>
          <w:szCs w:val="24"/>
        </w:rPr>
        <w:t xml:space="preserve"/>
      </w:r>
    </w:p>
    <w:p>
      <w:r>
        <w:br w:type="page"/>
      </w:r>
    </w:p>
    <w:p>
      <w:pPr>
        <w:pStyle w:val="Heading1"/>
        <w:spacing w:after="120" w:before="240"/>
        <w:ind/>
        <w:jc w:val="left"/>
      </w:pPr>
      <w:r>
        <w:rPr>
          <w:rFonts w:ascii="Arial" w:cs="Arial" w:eastAsia="Arial" w:hAnsi="Arial"/>
          <w:b/>
          <w:bCs/>
          <w:sz w:val="32"/>
          <w:szCs w:val="32"/>
        </w:rPr>
        <w:t xml:space="preserve">4. RISK MANAGEMENT</w:t>
      </w:r>
    </w:p>
    <w:p>
      <w:pPr>
        <w:pStyle w:val="Heading2"/>
        <w:spacing w:after="120" w:before="240"/>
        <w:ind/>
        <w:jc w:val="left"/>
      </w:pPr>
      <w:r>
        <w:rPr>
          <w:rFonts w:ascii="Arial" w:cs="Arial" w:eastAsia="Arial" w:hAnsi="Arial"/>
          <w:b/>
          <w:bCs/>
          <w:sz w:val="28"/>
          <w:szCs w:val="28"/>
        </w:rPr>
        <w:t xml:space="preserve">4.1 Risk Assessment Framework</w:t>
      </w:r>
    </w:p>
    <w:p>
      <w:pPr>
        <w:spacing w:after="120" w:before="120"/>
        <w:ind/>
        <w:jc w:val="left"/>
      </w:pPr>
      <w:r>
        <w:rPr>
          <w:rFonts w:ascii="Arial" w:cs="Arial" w:eastAsia="Arial" w:hAnsi="Arial"/>
          <w:b w:val="false"/>
          <w:bCs w:val="false"/>
          <w:sz w:val="24"/>
          <w:szCs w:val="24"/>
        </w:rPr>
        <w:t xml:space="preserve">Meridian Data Solutions conducts comprehensive information security risk assessments on an annual basis and as needed when significant system changes occur. Risk assessments evaluate threats, vulnerabilities, and potential business impacts.</w:t>
      </w:r>
    </w:p>
    <w:p>
      <w:pPr>
        <w:spacing w:after="200" w:before="0"/>
        <w:ind/>
        <w:jc w:val="left"/>
      </w:pPr>
      <w:r>
        <w:rPr>
          <w:rFonts w:ascii="Arial" w:cs="Arial" w:eastAsia="Arial" w:hAnsi="Arial"/>
          <w:b w:val="false"/>
          <w:bCs w:val="false"/>
          <w:sz w:val="24"/>
          <w:szCs w:val="24"/>
        </w:rPr>
        <w:t xml:space="preserve"/>
      </w:r>
    </w:p>
    <w:p>
      <w:pPr>
        <w:pStyle w:val="Heading2"/>
        <w:spacing w:after="120" w:before="240"/>
        <w:ind/>
        <w:jc w:val="left"/>
      </w:pPr>
      <w:r>
        <w:rPr>
          <w:rFonts w:ascii="Arial" w:cs="Arial" w:eastAsia="Arial" w:hAnsi="Arial"/>
          <w:b/>
          <w:bCs/>
          <w:sz w:val="28"/>
          <w:szCs w:val="28"/>
        </w:rPr>
        <w:t xml:space="preserve">4.2 Penetration Testing</w:t>
      </w:r>
    </w:p>
    <w:p>
      <w:pPr>
        <w:spacing w:after="120" w:before="120"/>
        <w:ind/>
        <w:jc w:val="left"/>
      </w:pPr>
      <w:r>
        <w:rPr>
          <w:rFonts w:ascii="Arial" w:cs="Arial" w:eastAsia="Arial" w:hAnsi="Arial"/>
          <w:b w:val="false"/>
          <w:bCs w:val="false"/>
          <w:sz w:val="24"/>
          <w:szCs w:val="24"/>
        </w:rPr>
        <w:t xml:space="preserve">Annual penetration testing by independent, qualified external security firms is conducted to identify vulnerabilities and validate the effectiveness of security controls. Results are reviewed by senior management and remediation plans are established for identified gaps.</w:t>
      </w:r>
    </w:p>
    <w:p>
      <w:pPr>
        <w:spacing w:after="200" w:before="0"/>
        <w:ind/>
        <w:jc w:val="left"/>
      </w:pPr>
      <w:r>
        <w:rPr>
          <w:rFonts w:ascii="Arial" w:cs="Arial" w:eastAsia="Arial" w:hAnsi="Arial"/>
          <w:b w:val="false"/>
          <w:bCs w:val="false"/>
          <w:sz w:val="24"/>
          <w:szCs w:val="24"/>
        </w:rPr>
        <w:t xml:space="preserve"/>
      </w:r>
    </w:p>
    <w:p>
      <w:pPr>
        <w:pStyle w:val="Heading2"/>
        <w:spacing w:after="120" w:before="240"/>
        <w:ind/>
        <w:jc w:val="left"/>
      </w:pPr>
      <w:r>
        <w:rPr>
          <w:rFonts w:ascii="Arial" w:cs="Arial" w:eastAsia="Arial" w:hAnsi="Arial"/>
          <w:b/>
          <w:bCs/>
          <w:sz w:val="28"/>
          <w:szCs w:val="28"/>
        </w:rPr>
        <w:t xml:space="preserve">4.3 Risk Mitigation</w:t>
      </w:r>
    </w:p>
    <w:p>
      <w:pPr>
        <w:spacing w:after="120" w:before="120"/>
        <w:ind/>
        <w:jc w:val="left"/>
      </w:pPr>
      <w:r>
        <w:rPr>
          <w:rFonts w:ascii="Arial" w:cs="Arial" w:eastAsia="Arial" w:hAnsi="Arial"/>
          <w:b w:val="false"/>
          <w:bCs w:val="false"/>
          <w:sz w:val="24"/>
          <w:szCs w:val="24"/>
        </w:rPr>
        <w:t xml:space="preserve">Identified risks are evaluated against business criticality and probability. Mitigation strategies include:</w:t>
      </w:r>
    </w:p>
    <w:p>
      <w:pPr>
        <w:pStyle w:val="ListParagraph"/>
        <w:numPr>
          <w:ilvl w:val="0"/>
          <w:numId w:val="2"/>
        </w:numPr>
        <w:spacing w:after="120" w:before="120"/>
        <w:ind/>
        <w:jc w:val="left"/>
      </w:pPr>
      <w:r>
        <w:rPr>
          <w:rFonts w:ascii="Arial" w:cs="Arial" w:eastAsia="Arial" w:hAnsi="Arial"/>
          <w:b w:val="false"/>
          <w:bCs w:val="false"/>
          <w:sz w:val="24"/>
          <w:szCs w:val="24"/>
        </w:rPr>
        <w:t xml:space="preserve">Implementation of additional technical controls</w:t>
      </w:r>
    </w:p>
    <w:p>
      <w:pPr>
        <w:pStyle w:val="ListParagraph"/>
        <w:numPr>
          <w:ilvl w:val="0"/>
          <w:numId w:val="2"/>
        </w:numPr>
        <w:spacing w:after="120" w:before="120"/>
        <w:ind/>
        <w:jc w:val="left"/>
      </w:pPr>
      <w:r>
        <w:rPr>
          <w:rFonts w:ascii="Arial" w:cs="Arial" w:eastAsia="Arial" w:hAnsi="Arial"/>
          <w:b w:val="false"/>
          <w:bCs w:val="false"/>
          <w:sz w:val="24"/>
          <w:szCs w:val="24"/>
        </w:rPr>
        <w:t xml:space="preserve">Enhanced monitoring and logging</w:t>
      </w:r>
    </w:p>
    <w:p>
      <w:pPr>
        <w:pStyle w:val="ListParagraph"/>
        <w:numPr>
          <w:ilvl w:val="0"/>
          <w:numId w:val="2"/>
        </w:numPr>
        <w:spacing w:after="120" w:before="120"/>
        <w:ind/>
        <w:jc w:val="left"/>
      </w:pPr>
      <w:r>
        <w:rPr>
          <w:rFonts w:ascii="Arial" w:cs="Arial" w:eastAsia="Arial" w:hAnsi="Arial"/>
          <w:b w:val="false"/>
          <w:bCs w:val="false"/>
          <w:sz w:val="24"/>
          <w:szCs w:val="24"/>
        </w:rPr>
        <w:t xml:space="preserve">Process improvements and policy updates</w:t>
      </w:r>
    </w:p>
    <w:p>
      <w:pPr>
        <w:pStyle w:val="ListParagraph"/>
        <w:numPr>
          <w:ilvl w:val="0"/>
          <w:numId w:val="2"/>
        </w:numPr>
        <w:spacing w:after="120" w:before="120"/>
        <w:ind/>
        <w:jc w:val="left"/>
      </w:pPr>
      <w:r>
        <w:rPr>
          <w:rFonts w:ascii="Arial" w:cs="Arial" w:eastAsia="Arial" w:hAnsi="Arial"/>
          <w:b w:val="false"/>
          <w:bCs w:val="false"/>
          <w:sz w:val="24"/>
          <w:szCs w:val="24"/>
        </w:rPr>
        <w:t xml:space="preserve">Risk acceptance with documented business justification</w:t>
      </w:r>
    </w:p>
    <w:p>
      <w:pPr>
        <w:spacing w:after="200" w:before="0"/>
        <w:ind/>
        <w:jc w:val="left"/>
      </w:pPr>
      <w:r>
        <w:rPr>
          <w:rFonts w:ascii="Arial" w:cs="Arial" w:eastAsia="Arial" w:hAnsi="Arial"/>
          <w:b w:val="false"/>
          <w:bCs w:val="false"/>
          <w:sz w:val="24"/>
          <w:szCs w:val="24"/>
        </w:rPr>
        <w:t xml:space="preserve"/>
      </w:r>
    </w:p>
    <w:p>
      <w:pPr>
        <w:pStyle w:val="Heading1"/>
        <w:spacing w:after="120" w:before="240"/>
        <w:ind/>
        <w:jc w:val="left"/>
      </w:pPr>
      <w:r>
        <w:rPr>
          <w:rFonts w:ascii="Arial" w:cs="Arial" w:eastAsia="Arial" w:hAnsi="Arial"/>
          <w:b/>
          <w:bCs/>
          <w:sz w:val="32"/>
          <w:szCs w:val="32"/>
        </w:rPr>
        <w:t xml:space="preserve">5. ASSET MANAGEMENT AND CLASSIFICATION</w:t>
      </w:r>
    </w:p>
    <w:p>
      <w:pPr>
        <w:pStyle w:val="Heading2"/>
        <w:spacing w:after="120" w:before="240"/>
        <w:ind/>
        <w:jc w:val="left"/>
      </w:pPr>
      <w:r>
        <w:rPr>
          <w:rFonts w:ascii="Arial" w:cs="Arial" w:eastAsia="Arial" w:hAnsi="Arial"/>
          <w:b/>
          <w:bCs/>
          <w:sz w:val="28"/>
          <w:szCs w:val="28"/>
        </w:rPr>
        <w:t xml:space="preserve">5.1 Data Classification</w:t>
      </w:r>
    </w:p>
    <w:p>
      <w:pPr>
        <w:spacing w:after="120" w:before="120"/>
        <w:ind/>
        <w:jc w:val="left"/>
      </w:pPr>
      <w:r>
        <w:rPr>
          <w:rFonts w:ascii="Arial" w:cs="Arial" w:eastAsia="Arial" w:hAnsi="Arial"/>
          <w:b w:val="false"/>
          <w:bCs w:val="false"/>
          <w:sz w:val="24"/>
          <w:szCs w:val="24"/>
        </w:rPr>
        <w:t xml:space="preserve">All company data is classified according to sensitivity and protection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Classification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Definition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Retention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Public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Information safe for public disclosure (marketing materials, public APIs)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7 years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Internal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Non-sensitive company information (policies, procedures, public announcements)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7 years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Confidential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Sensitive business data (client lists, financial data, proprietary algorithms)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Per retention policy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Restricted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Highly sensitive data (authentication credentials, encryption keys, personal 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Minimum necessary</w:t>
            </w:r>
          </w:p>
        </w:tc>
      </w:tr>
    </w:tbl>
    <w:p>
      <w:pPr>
        <w:spacing w:after="200" w:before="0"/>
        <w:ind/>
        <w:jc w:val="left"/>
      </w:pPr>
      <w:r>
        <w:rPr>
          <w:rFonts w:ascii="Arial" w:cs="Arial" w:eastAsia="Arial" w:hAnsi="Arial"/>
          <w:b w:val="false"/>
          <w:bCs w:val="false"/>
          <w:sz w:val="24"/>
          <w:szCs w:val="24"/>
        </w:rPr>
        <w:t xml:space="preserve"/>
      </w:r>
    </w:p>
    <w:p>
      <w:pPr>
        <w:pStyle w:val="Heading2"/>
        <w:spacing w:after="120" w:before="240"/>
        <w:ind/>
        <w:jc w:val="left"/>
      </w:pPr>
      <w:r>
        <w:rPr>
          <w:rFonts w:ascii="Arial" w:cs="Arial" w:eastAsia="Arial" w:hAnsi="Arial"/>
          <w:b/>
          <w:bCs/>
          <w:sz w:val="28"/>
          <w:szCs w:val="28"/>
        </w:rPr>
        <w:t xml:space="preserve">5.2 Asset Inventory</w:t>
      </w:r>
    </w:p>
    <w:p>
      <w:pPr>
        <w:spacing w:after="120" w:before="120"/>
        <w:ind/>
        <w:jc w:val="left"/>
      </w:pPr>
      <w:r>
        <w:rPr>
          <w:rFonts w:ascii="Arial" w:cs="Arial" w:eastAsia="Arial" w:hAnsi="Arial"/>
          <w:b w:val="false"/>
          <w:bCs w:val="false"/>
          <w:sz w:val="24"/>
          <w:szCs w:val="24"/>
        </w:rPr>
        <w:t xml:space="preserve">The IT Department maintains a comprehensive asset inventory including:</w:t>
      </w:r>
    </w:p>
    <w:p>
      <w:pPr>
        <w:pStyle w:val="ListParagraph"/>
        <w:numPr>
          <w:ilvl w:val="0"/>
          <w:numId w:val="2"/>
        </w:numPr>
        <w:spacing w:after="120" w:before="120"/>
        <w:ind/>
        <w:jc w:val="left"/>
      </w:pPr>
      <w:r>
        <w:rPr>
          <w:rFonts w:ascii="Arial" w:cs="Arial" w:eastAsia="Arial" w:hAnsi="Arial"/>
          <w:b w:val="false"/>
          <w:bCs w:val="false"/>
          <w:sz w:val="24"/>
          <w:szCs w:val="24"/>
        </w:rPr>
        <w:t xml:space="preserve">Hardware devices (servers, workstations, mobile devices)</w:t>
      </w:r>
    </w:p>
    <w:p>
      <w:pPr>
        <w:pStyle w:val="ListParagraph"/>
        <w:numPr>
          <w:ilvl w:val="0"/>
          <w:numId w:val="2"/>
        </w:numPr>
        <w:spacing w:after="120" w:before="120"/>
        <w:ind/>
        <w:jc w:val="left"/>
      </w:pPr>
      <w:r>
        <w:rPr>
          <w:rFonts w:ascii="Arial" w:cs="Arial" w:eastAsia="Arial" w:hAnsi="Arial"/>
          <w:b w:val="false"/>
          <w:bCs w:val="false"/>
          <w:sz w:val="24"/>
          <w:szCs w:val="24"/>
        </w:rPr>
        <w:t xml:space="preserve">Software applications and licenses</w:t>
      </w:r>
    </w:p>
    <w:p>
      <w:pPr>
        <w:pStyle w:val="ListParagraph"/>
        <w:numPr>
          <w:ilvl w:val="0"/>
          <w:numId w:val="2"/>
        </w:numPr>
        <w:spacing w:after="120" w:before="120"/>
        <w:ind/>
        <w:jc w:val="left"/>
      </w:pPr>
      <w:r>
        <w:rPr>
          <w:rFonts w:ascii="Arial" w:cs="Arial" w:eastAsia="Arial" w:hAnsi="Arial"/>
          <w:b w:val="false"/>
          <w:bCs w:val="false"/>
          <w:sz w:val="24"/>
          <w:szCs w:val="24"/>
        </w:rPr>
        <w:t xml:space="preserve">Cloud services and subscriptions</w:t>
      </w:r>
    </w:p>
    <w:p>
      <w:pPr>
        <w:pStyle w:val="ListParagraph"/>
        <w:numPr>
          <w:ilvl w:val="0"/>
          <w:numId w:val="2"/>
        </w:numPr>
        <w:spacing w:after="120" w:before="120"/>
        <w:ind/>
        <w:jc w:val="left"/>
      </w:pPr>
      <w:r>
        <w:rPr>
          <w:rFonts w:ascii="Arial" w:cs="Arial" w:eastAsia="Arial" w:hAnsi="Arial"/>
          <w:b w:val="false"/>
          <w:bCs w:val="false"/>
          <w:sz w:val="24"/>
          <w:szCs w:val="24"/>
        </w:rPr>
        <w:t xml:space="preserve">Network equipment and infrastructure</w:t>
      </w:r>
    </w:p>
    <w:p>
      <w:pPr>
        <w:spacing w:after="200" w:before="0"/>
        <w:ind/>
        <w:jc w:val="left"/>
      </w:pPr>
      <w:r>
        <w:rPr>
          <w:rFonts w:ascii="Arial" w:cs="Arial" w:eastAsia="Arial" w:hAnsi="Arial"/>
          <w:b w:val="false"/>
          <w:bCs w:val="false"/>
          <w:sz w:val="24"/>
          <w:szCs w:val="24"/>
        </w:rPr>
        <w:t xml:space="preserve"/>
      </w:r>
    </w:p>
    <w:p>
      <w:pPr>
        <w:pStyle w:val="Heading1"/>
        <w:spacing w:after="120" w:before="240"/>
        <w:ind/>
        <w:jc w:val="left"/>
      </w:pPr>
      <w:r>
        <w:rPr>
          <w:rFonts w:ascii="Arial" w:cs="Arial" w:eastAsia="Arial" w:hAnsi="Arial"/>
          <w:b/>
          <w:bCs/>
          <w:sz w:val="32"/>
          <w:szCs w:val="32"/>
        </w:rPr>
        <w:t xml:space="preserve">6. ACCESS CONTROL</w:t>
      </w:r>
    </w:p>
    <w:p>
      <w:pPr>
        <w:pStyle w:val="Heading2"/>
        <w:spacing w:after="120" w:before="240"/>
        <w:ind/>
        <w:jc w:val="left"/>
      </w:pPr>
      <w:r>
        <w:rPr>
          <w:rFonts w:ascii="Arial" w:cs="Arial" w:eastAsia="Arial" w:hAnsi="Arial"/>
          <w:b/>
          <w:bCs/>
          <w:sz w:val="28"/>
          <w:szCs w:val="28"/>
        </w:rPr>
        <w:t xml:space="preserve">6.1 Access Control Policy</w:t>
      </w:r>
    </w:p>
    <w:p>
      <w:pPr>
        <w:spacing w:after="120" w:before="120"/>
        <w:ind/>
        <w:jc w:val="left"/>
      </w:pPr>
      <w:r>
        <w:rPr>
          <w:rFonts w:ascii="Arial" w:cs="Arial" w:eastAsia="Arial" w:hAnsi="Arial"/>
          <w:b w:val="false"/>
          <w:bCs w:val="false"/>
          <w:sz w:val="24"/>
          <w:szCs w:val="24"/>
        </w:rPr>
        <w:t xml:space="preserve">Access to Meridian systems and data is granted based on the principle of least privilege. Users receive the minimum level of access necessary to perform their job functions.</w:t>
      </w:r>
    </w:p>
    <w:p>
      <w:pPr>
        <w:spacing w:after="200" w:before="0"/>
        <w:ind/>
        <w:jc w:val="left"/>
      </w:pPr>
      <w:r>
        <w:rPr>
          <w:rFonts w:ascii="Arial" w:cs="Arial" w:eastAsia="Arial" w:hAnsi="Arial"/>
          <w:b w:val="false"/>
          <w:bCs w:val="false"/>
          <w:sz w:val="24"/>
          <w:szCs w:val="24"/>
        </w:rPr>
        <w:t xml:space="preserve"/>
      </w:r>
    </w:p>
    <w:p>
      <w:pPr>
        <w:pStyle w:val="Heading2"/>
        <w:spacing w:after="120" w:before="240"/>
        <w:ind/>
        <w:jc w:val="left"/>
      </w:pPr>
      <w:r>
        <w:rPr>
          <w:rFonts w:ascii="Arial" w:cs="Arial" w:eastAsia="Arial" w:hAnsi="Arial"/>
          <w:b/>
          <w:bCs/>
          <w:sz w:val="28"/>
          <w:szCs w:val="28"/>
        </w:rPr>
        <w:t xml:space="preserve">6.2 Access Tiers and Authentication Requirements</w:t>
      </w:r>
    </w:p>
    <w:p>
      <w:pPr>
        <w:spacing w:after="120" w:before="120"/>
        <w:ind/>
        <w:jc w:val="left"/>
      </w:pPr>
      <w:r>
        <w:rPr>
          <w:rFonts w:ascii="Arial" w:cs="Arial" w:eastAsia="Arial" w:hAnsi="Arial"/>
          <w:b w:val="false"/>
          <w:bCs w:val="false"/>
          <w:sz w:val="24"/>
          <w:szCs w:val="24"/>
        </w:rPr>
        <w:t xml:space="preserve">Access to company systems is organized into three distinct tiers with corresponding authentication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800"/>
        <w:gridCol w:w="36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Access Tier</w:t>
            </w:r>
          </w:p>
        </w:tc>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Systems Covered</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User Types</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Authentication Method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Standard User Access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General business applications, email, file servers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Regular employees, contractors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Single sign-on (SSO) with complex password; MFA required for VPN and remote access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Privileged Access (Administrative)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Production infrastructure, database management, security tools, system administration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System administrators, database administrators, security personnel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Complex passwords with minimum 16-character length, including uppercase, lowercase, numeric, and special characters, with mandatory 90-day rotation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Restricted Access (High-Risk Systems)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Payment processing, encryption key management, compliance systems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Authorized security personnel only (requires CISO approval)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Passwordless authentication via hardware security keys; no shared credentials</w:t>
            </w:r>
          </w:p>
        </w:tc>
      </w:tr>
    </w:tbl>
    <w:p>
      <w:pPr>
        <w:spacing w:after="200" w:before="0"/>
        <w:ind/>
        <w:jc w:val="left"/>
      </w:pPr>
      <w:r>
        <w:rPr>
          <w:rFonts w:ascii="Arial" w:cs="Arial" w:eastAsia="Arial" w:hAnsi="Arial"/>
          <w:b w:val="false"/>
          <w:bCs w:val="false"/>
          <w:sz w:val="24"/>
          <w:szCs w:val="24"/>
        </w:rPr>
        <w:t xml:space="preserve"/>
      </w:r>
    </w:p>
    <w:p>
      <w:pPr>
        <w:spacing w:after="200" w:before="0"/>
        <w:ind/>
        <w:jc w:val="left"/>
      </w:pPr>
      <w:r>
        <w:rPr>
          <w:rFonts w:ascii="Arial" w:cs="Arial" w:eastAsia="Arial" w:hAnsi="Arial"/>
          <w:b w:val="false"/>
          <w:bCs w:val="false"/>
          <w:sz w:val="24"/>
          <w:szCs w:val="24"/>
        </w:rPr>
        <w:t xml:space="preserve">Note: The gap here is subtle but critical. Privileged access to production infrastructure uses password-only authentication, while standard users must use MFA for remote access. This means the most sensitive systems lack the strongest protections.</w:t>
      </w:r>
    </w:p>
    <w:p>
      <w:pPr>
        <w:pStyle w:val="Heading2"/>
        <w:spacing w:after="120" w:before="240"/>
        <w:ind/>
        <w:jc w:val="left"/>
      </w:pPr>
      <w:r>
        <w:rPr>
          <w:rFonts w:ascii="Arial" w:cs="Arial" w:eastAsia="Arial" w:hAnsi="Arial"/>
          <w:b/>
          <w:bCs/>
          <w:sz w:val="28"/>
          <w:szCs w:val="28"/>
        </w:rPr>
        <w:t xml:space="preserve">6.3 User Access Management</w:t>
      </w:r>
    </w:p>
    <w:p>
      <w:pPr>
        <w:spacing w:after="120" w:before="120"/>
        <w:ind/>
        <w:jc w:val="left"/>
      </w:pPr>
      <w:r>
        <w:rPr>
          <w:rFonts w:ascii="Arial" w:cs="Arial" w:eastAsia="Arial" w:hAnsi="Arial"/>
          <w:b w:val="false"/>
          <w:bCs w:val="false"/>
          <w:sz w:val="24"/>
          <w:szCs w:val="24"/>
        </w:rPr>
        <w:t xml:space="preserve">User accounts are provisioned through a formal request and approval process. Account requests must include:</w:t>
      </w:r>
    </w:p>
    <w:p>
      <w:pPr>
        <w:pStyle w:val="ListParagraph"/>
        <w:numPr>
          <w:ilvl w:val="0"/>
          <w:numId w:val="2"/>
        </w:numPr>
        <w:spacing w:after="120" w:before="120"/>
        <w:ind/>
        <w:jc w:val="left"/>
      </w:pPr>
      <w:r>
        <w:rPr>
          <w:rFonts w:ascii="Arial" w:cs="Arial" w:eastAsia="Arial" w:hAnsi="Arial"/>
          <w:b w:val="false"/>
          <w:bCs w:val="false"/>
          <w:sz w:val="24"/>
          <w:szCs w:val="24"/>
        </w:rPr>
        <w:t xml:space="preserve">Justification for access level requested</w:t>
      </w:r>
    </w:p>
    <w:p>
      <w:pPr>
        <w:pStyle w:val="ListParagraph"/>
        <w:numPr>
          <w:ilvl w:val="0"/>
          <w:numId w:val="2"/>
        </w:numPr>
        <w:spacing w:after="120" w:before="120"/>
        <w:ind/>
        <w:jc w:val="left"/>
      </w:pPr>
      <w:r>
        <w:rPr>
          <w:rFonts w:ascii="Arial" w:cs="Arial" w:eastAsia="Arial" w:hAnsi="Arial"/>
          <w:b w:val="false"/>
          <w:bCs w:val="false"/>
          <w:sz w:val="24"/>
          <w:szCs w:val="24"/>
        </w:rPr>
        <w:t xml:space="preserve">Approval from the user's manager</w:t>
      </w:r>
    </w:p>
    <w:p>
      <w:pPr>
        <w:pStyle w:val="ListParagraph"/>
        <w:numPr>
          <w:ilvl w:val="0"/>
          <w:numId w:val="2"/>
        </w:numPr>
        <w:spacing w:after="120" w:before="120"/>
        <w:ind/>
        <w:jc w:val="left"/>
      </w:pPr>
      <w:r>
        <w:rPr>
          <w:rFonts w:ascii="Arial" w:cs="Arial" w:eastAsia="Arial" w:hAnsi="Arial"/>
          <w:b w:val="false"/>
          <w:bCs w:val="false"/>
          <w:sz w:val="24"/>
          <w:szCs w:val="24"/>
        </w:rPr>
        <w:t xml:space="preserve">Verification of role requirements</w:t>
      </w:r>
    </w:p>
    <w:p>
      <w:pPr>
        <w:spacing w:after="200" w:before="0"/>
        <w:ind/>
        <w:jc w:val="left"/>
      </w:pPr>
      <w:r>
        <w:rPr>
          <w:rFonts w:ascii="Arial" w:cs="Arial" w:eastAsia="Arial" w:hAnsi="Arial"/>
          <w:b w:val="false"/>
          <w:bCs w:val="false"/>
          <w:sz w:val="24"/>
          <w:szCs w:val="24"/>
        </w:rPr>
        <w:t xml:space="preserve">Access reviews are conducted semi-annually to ensure accounts remain valid and appropriate.</w:t>
      </w:r>
    </w:p>
    <w:p>
      <w:pPr>
        <w:pStyle w:val="Heading2"/>
        <w:spacing w:after="120" w:before="240"/>
        <w:ind/>
        <w:jc w:val="left"/>
      </w:pPr>
      <w:r>
        <w:rPr>
          <w:rFonts w:ascii="Arial" w:cs="Arial" w:eastAsia="Arial" w:hAnsi="Arial"/>
          <w:b/>
          <w:bCs/>
          <w:sz w:val="28"/>
          <w:szCs w:val="28"/>
        </w:rPr>
        <w:t xml:space="preserve">6.4 Account Deprovisioning</w:t>
      </w:r>
    </w:p>
    <w:p>
      <w:pPr>
        <w:spacing w:after="120" w:before="120"/>
        <w:ind/>
        <w:jc w:val="left"/>
      </w:pPr>
      <w:r>
        <w:rPr>
          <w:rFonts w:ascii="Arial" w:cs="Arial" w:eastAsia="Arial" w:hAnsi="Arial"/>
          <w:b w:val="false"/>
          <w:bCs w:val="false"/>
          <w:sz w:val="24"/>
          <w:szCs w:val="24"/>
        </w:rPr>
        <w:t xml:space="preserve">Upon termination or role change, all system access is revoked immediately. IT completes:</w:t>
      </w:r>
    </w:p>
    <w:p>
      <w:pPr>
        <w:pStyle w:val="ListParagraph"/>
        <w:numPr>
          <w:ilvl w:val="0"/>
          <w:numId w:val="2"/>
        </w:numPr>
        <w:spacing w:after="120" w:before="120"/>
        <w:ind/>
        <w:jc w:val="left"/>
      </w:pPr>
      <w:r>
        <w:rPr>
          <w:rFonts w:ascii="Arial" w:cs="Arial" w:eastAsia="Arial" w:hAnsi="Arial"/>
          <w:b w:val="false"/>
          <w:bCs w:val="false"/>
          <w:sz w:val="24"/>
          <w:szCs w:val="24"/>
        </w:rPr>
        <w:t xml:space="preserve">Disable accounts in all systems and applications</w:t>
      </w:r>
    </w:p>
    <w:p>
      <w:pPr>
        <w:pStyle w:val="ListParagraph"/>
        <w:numPr>
          <w:ilvl w:val="0"/>
          <w:numId w:val="2"/>
        </w:numPr>
        <w:spacing w:after="120" w:before="120"/>
        <w:ind/>
        <w:jc w:val="left"/>
      </w:pPr>
      <w:r>
        <w:rPr>
          <w:rFonts w:ascii="Arial" w:cs="Arial" w:eastAsia="Arial" w:hAnsi="Arial"/>
          <w:b w:val="false"/>
          <w:bCs w:val="false"/>
          <w:sz w:val="24"/>
          <w:szCs w:val="24"/>
        </w:rPr>
        <w:t xml:space="preserve">Retrieve security badges and access credentials</w:t>
      </w:r>
    </w:p>
    <w:p>
      <w:pPr>
        <w:pStyle w:val="ListParagraph"/>
        <w:numPr>
          <w:ilvl w:val="0"/>
          <w:numId w:val="2"/>
        </w:numPr>
        <w:spacing w:after="120" w:before="120"/>
        <w:ind/>
        <w:jc w:val="left"/>
      </w:pPr>
      <w:r>
        <w:rPr>
          <w:rFonts w:ascii="Arial" w:cs="Arial" w:eastAsia="Arial" w:hAnsi="Arial"/>
          <w:b w:val="false"/>
          <w:bCs w:val="false"/>
          <w:sz w:val="24"/>
          <w:szCs w:val="24"/>
        </w:rPr>
        <w:t xml:space="preserve">Archive email and stored documents</w:t>
      </w:r>
    </w:p>
    <w:p>
      <w:pPr>
        <w:pStyle w:val="ListParagraph"/>
        <w:numPr>
          <w:ilvl w:val="0"/>
          <w:numId w:val="2"/>
        </w:numPr>
        <w:spacing w:after="120" w:before="120"/>
        <w:ind/>
        <w:jc w:val="left"/>
      </w:pPr>
      <w:r>
        <w:rPr>
          <w:rFonts w:ascii="Arial" w:cs="Arial" w:eastAsia="Arial" w:hAnsi="Arial"/>
          <w:b w:val="false"/>
          <w:bCs w:val="false"/>
          <w:sz w:val="24"/>
          <w:szCs w:val="24"/>
        </w:rPr>
        <w:t xml:space="preserve">Document access revocation in security logs</w:t>
      </w:r>
    </w:p>
    <w:p>
      <w:pPr>
        <w:spacing w:after="200" w:before="0"/>
        <w:ind/>
        <w:jc w:val="left"/>
      </w:pPr>
      <w:r>
        <w:rPr>
          <w:rFonts w:ascii="Arial" w:cs="Arial" w:eastAsia="Arial" w:hAnsi="Arial"/>
          <w:b w:val="false"/>
          <w:bCs w:val="false"/>
          <w:sz w:val="24"/>
          <w:szCs w:val="24"/>
        </w:rPr>
        <w:t xml:space="preserve"/>
      </w:r>
    </w:p>
    <w:p>
      <w:r>
        <w:br w:type="page"/>
      </w:r>
    </w:p>
    <w:p>
      <w:pPr>
        <w:pStyle w:val="Heading1"/>
        <w:spacing w:after="120" w:before="240"/>
        <w:ind/>
        <w:jc w:val="left"/>
      </w:pPr>
      <w:r>
        <w:rPr>
          <w:rFonts w:ascii="Arial" w:cs="Arial" w:eastAsia="Arial" w:hAnsi="Arial"/>
          <w:b/>
          <w:bCs/>
          <w:sz w:val="32"/>
          <w:szCs w:val="32"/>
        </w:rPr>
        <w:t xml:space="preserve">7. NETWORK SECURITY</w:t>
      </w:r>
    </w:p>
    <w:p>
      <w:pPr>
        <w:pStyle w:val="Heading2"/>
        <w:spacing w:after="120" w:before="240"/>
        <w:ind/>
        <w:jc w:val="left"/>
      </w:pPr>
      <w:r>
        <w:rPr>
          <w:rFonts w:ascii="Arial" w:cs="Arial" w:eastAsia="Arial" w:hAnsi="Arial"/>
          <w:b/>
          <w:bCs/>
          <w:sz w:val="28"/>
          <w:szCs w:val="28"/>
        </w:rPr>
        <w:t xml:space="preserve">7.1 Network Architecture</w:t>
      </w:r>
    </w:p>
    <w:p>
      <w:pPr>
        <w:spacing w:after="120" w:before="120"/>
        <w:ind/>
        <w:jc w:val="left"/>
      </w:pPr>
      <w:r>
        <w:rPr>
          <w:rFonts w:ascii="Arial" w:cs="Arial" w:eastAsia="Arial" w:hAnsi="Arial"/>
          <w:b w:val="false"/>
          <w:bCs w:val="false"/>
          <w:sz w:val="24"/>
          <w:szCs w:val="24"/>
        </w:rPr>
        <w:t xml:space="preserve">Meridian's network is segmented into security zones with controlled access:</w:t>
      </w:r>
    </w:p>
    <w:p>
      <w:pPr>
        <w:pStyle w:val="ListParagraph"/>
        <w:numPr>
          <w:ilvl w:val="0"/>
          <w:numId w:val="2"/>
        </w:numPr>
        <w:spacing w:after="120" w:before="120"/>
        <w:ind/>
        <w:jc w:val="left"/>
      </w:pPr>
      <w:r>
        <w:rPr>
          <w:rFonts w:ascii="Arial" w:cs="Arial" w:eastAsia="Arial" w:hAnsi="Arial"/>
          <w:b w:val="false"/>
          <w:bCs w:val="false"/>
          <w:sz w:val="24"/>
          <w:szCs w:val="24"/>
        </w:rPr>
        <w:t xml:space="preserve">DMZ (demilitarized zone) for external-facing systems</w:t>
      </w:r>
    </w:p>
    <w:p>
      <w:pPr>
        <w:pStyle w:val="ListParagraph"/>
        <w:numPr>
          <w:ilvl w:val="0"/>
          <w:numId w:val="2"/>
        </w:numPr>
        <w:spacing w:after="120" w:before="120"/>
        <w:ind/>
        <w:jc w:val="left"/>
      </w:pPr>
      <w:r>
        <w:rPr>
          <w:rFonts w:ascii="Arial" w:cs="Arial" w:eastAsia="Arial" w:hAnsi="Arial"/>
          <w:b w:val="false"/>
          <w:bCs w:val="false"/>
          <w:sz w:val="24"/>
          <w:szCs w:val="24"/>
        </w:rPr>
        <w:t xml:space="preserve">Internal network with role-based access controls</w:t>
      </w:r>
    </w:p>
    <w:p>
      <w:pPr>
        <w:pStyle w:val="ListParagraph"/>
        <w:numPr>
          <w:ilvl w:val="0"/>
          <w:numId w:val="2"/>
        </w:numPr>
        <w:spacing w:after="120" w:before="120"/>
        <w:ind/>
        <w:jc w:val="left"/>
      </w:pPr>
      <w:r>
        <w:rPr>
          <w:rFonts w:ascii="Arial" w:cs="Arial" w:eastAsia="Arial" w:hAnsi="Arial"/>
          <w:b w:val="false"/>
          <w:bCs w:val="false"/>
          <w:sz w:val="24"/>
          <w:szCs w:val="24"/>
        </w:rPr>
        <w:t xml:space="preserve">Isolated management networks for administrative access</w:t>
      </w:r>
    </w:p>
    <w:p>
      <w:pPr>
        <w:spacing w:after="200" w:before="0"/>
        <w:ind/>
        <w:jc w:val="left"/>
      </w:pPr>
      <w:r>
        <w:rPr>
          <w:rFonts w:ascii="Arial" w:cs="Arial" w:eastAsia="Arial" w:hAnsi="Arial"/>
          <w:b w:val="false"/>
          <w:bCs w:val="false"/>
          <w:sz w:val="24"/>
          <w:szCs w:val="24"/>
        </w:rPr>
        <w:t xml:space="preserve"/>
      </w:r>
    </w:p>
    <w:p>
      <w:pPr>
        <w:pStyle w:val="Heading2"/>
        <w:spacing w:after="120" w:before="240"/>
        <w:ind/>
        <w:jc w:val="left"/>
      </w:pPr>
      <w:r>
        <w:rPr>
          <w:rFonts w:ascii="Arial" w:cs="Arial" w:eastAsia="Arial" w:hAnsi="Arial"/>
          <w:b/>
          <w:bCs/>
          <w:sz w:val="28"/>
          <w:szCs w:val="28"/>
        </w:rPr>
        <w:t xml:space="preserve">7.2 Firewall and Intrusion Detection</w:t>
      </w:r>
    </w:p>
    <w:p>
      <w:pPr>
        <w:spacing w:after="120" w:before="120"/>
        <w:ind/>
        <w:jc w:val="left"/>
      </w:pPr>
      <w:r>
        <w:rPr>
          <w:rFonts w:ascii="Arial" w:cs="Arial" w:eastAsia="Arial" w:hAnsi="Arial"/>
          <w:b w:val="false"/>
          <w:bCs w:val="false"/>
          <w:sz w:val="24"/>
          <w:szCs w:val="24"/>
        </w:rPr>
        <w:t xml:space="preserve">Network firewalls enforce strict inbound/outbound rules based on business requirements. Intrusion Detection Systems (IDS) monitor network traffic for suspicious activity and automatically alert the Security Operations Center.</w:t>
      </w:r>
    </w:p>
    <w:p>
      <w:pPr>
        <w:spacing w:after="200" w:before="0"/>
        <w:ind/>
        <w:jc w:val="left"/>
      </w:pPr>
      <w:r>
        <w:rPr>
          <w:rFonts w:ascii="Arial" w:cs="Arial" w:eastAsia="Arial" w:hAnsi="Arial"/>
          <w:b w:val="false"/>
          <w:bCs w:val="false"/>
          <w:sz w:val="24"/>
          <w:szCs w:val="24"/>
        </w:rPr>
        <w:t xml:space="preserve"/>
      </w:r>
    </w:p>
    <w:p>
      <w:pPr>
        <w:pStyle w:val="Heading2"/>
        <w:spacing w:after="120" w:before="240"/>
        <w:ind/>
        <w:jc w:val="left"/>
      </w:pPr>
      <w:r>
        <w:rPr>
          <w:rFonts w:ascii="Arial" w:cs="Arial" w:eastAsia="Arial" w:hAnsi="Arial"/>
          <w:b/>
          <w:bCs/>
          <w:sz w:val="28"/>
          <w:szCs w:val="28"/>
        </w:rPr>
        <w:t xml:space="preserve">7.3 Remote Access</w:t>
      </w:r>
    </w:p>
    <w:p>
      <w:pPr>
        <w:spacing w:after="120" w:before="120"/>
        <w:ind/>
        <w:jc w:val="left"/>
      </w:pPr>
      <w:r>
        <w:rPr>
          <w:rFonts w:ascii="Arial" w:cs="Arial" w:eastAsia="Arial" w:hAnsi="Arial"/>
          <w:b w:val="false"/>
          <w:bCs w:val="false"/>
          <w:sz w:val="24"/>
          <w:szCs w:val="24"/>
        </w:rPr>
        <w:t xml:space="preserve">Remote access to company networks is provided via VPN with mandatory MFA for all users. Remote access policies require:</w:t>
      </w:r>
    </w:p>
    <w:p>
      <w:pPr>
        <w:pStyle w:val="ListParagraph"/>
        <w:numPr>
          <w:ilvl w:val="0"/>
          <w:numId w:val="2"/>
        </w:numPr>
        <w:spacing w:after="120" w:before="120"/>
        <w:ind/>
        <w:jc w:val="left"/>
      </w:pPr>
      <w:r>
        <w:rPr>
          <w:rFonts w:ascii="Arial" w:cs="Arial" w:eastAsia="Arial" w:hAnsi="Arial"/>
          <w:b w:val="false"/>
          <w:bCs w:val="false"/>
          <w:sz w:val="24"/>
          <w:szCs w:val="24"/>
        </w:rPr>
        <w:t xml:space="preserve">Encrypted VPN connections</w:t>
      </w:r>
    </w:p>
    <w:p>
      <w:pPr>
        <w:pStyle w:val="ListParagraph"/>
        <w:numPr>
          <w:ilvl w:val="0"/>
          <w:numId w:val="2"/>
        </w:numPr>
        <w:spacing w:after="120" w:before="120"/>
        <w:ind/>
        <w:jc w:val="left"/>
      </w:pPr>
      <w:r>
        <w:rPr>
          <w:rFonts w:ascii="Arial" w:cs="Arial" w:eastAsia="Arial" w:hAnsi="Arial"/>
          <w:b w:val="false"/>
          <w:bCs w:val="false"/>
          <w:sz w:val="24"/>
          <w:szCs w:val="24"/>
        </w:rPr>
        <w:t xml:space="preserve">Multi-factor authentication</w:t>
      </w:r>
    </w:p>
    <w:p>
      <w:pPr>
        <w:pStyle w:val="ListParagraph"/>
        <w:numPr>
          <w:ilvl w:val="0"/>
          <w:numId w:val="2"/>
        </w:numPr>
        <w:spacing w:after="120" w:before="120"/>
        <w:ind/>
        <w:jc w:val="left"/>
      </w:pPr>
      <w:r>
        <w:rPr>
          <w:rFonts w:ascii="Arial" w:cs="Arial" w:eastAsia="Arial" w:hAnsi="Arial"/>
          <w:b w:val="false"/>
          <w:bCs w:val="false"/>
          <w:sz w:val="24"/>
          <w:szCs w:val="24"/>
        </w:rPr>
        <w:t xml:space="preserve">Endpoint security software installed on remote devices</w:t>
      </w:r>
    </w:p>
    <w:p>
      <w:pPr>
        <w:pStyle w:val="ListParagraph"/>
        <w:numPr>
          <w:ilvl w:val="0"/>
          <w:numId w:val="2"/>
        </w:numPr>
        <w:spacing w:after="120" w:before="120"/>
        <w:ind/>
        <w:jc w:val="left"/>
      </w:pPr>
      <w:r>
        <w:rPr>
          <w:rFonts w:ascii="Arial" w:cs="Arial" w:eastAsia="Arial" w:hAnsi="Arial"/>
          <w:b w:val="false"/>
          <w:bCs w:val="false"/>
          <w:sz w:val="24"/>
          <w:szCs w:val="24"/>
        </w:rPr>
        <w:t xml:space="preserve">Annual approval renewal</w:t>
      </w:r>
    </w:p>
    <w:p>
      <w:pPr>
        <w:spacing w:after="200" w:before="0"/>
        <w:ind/>
        <w:jc w:val="left"/>
      </w:pPr>
      <w:r>
        <w:rPr>
          <w:rFonts w:ascii="Arial" w:cs="Arial" w:eastAsia="Arial" w:hAnsi="Arial"/>
          <w:b w:val="false"/>
          <w:bCs w:val="false"/>
          <w:sz w:val="24"/>
          <w:szCs w:val="24"/>
        </w:rPr>
        <w:t xml:space="preserve"/>
      </w:r>
    </w:p>
    <w:p>
      <w:pPr>
        <w:pStyle w:val="Heading1"/>
        <w:spacing w:after="120" w:before="240"/>
        <w:ind/>
        <w:jc w:val="left"/>
      </w:pPr>
      <w:r>
        <w:rPr>
          <w:rFonts w:ascii="Arial" w:cs="Arial" w:eastAsia="Arial" w:hAnsi="Arial"/>
          <w:b/>
          <w:bCs/>
          <w:sz w:val="32"/>
          <w:szCs w:val="32"/>
        </w:rPr>
        <w:t xml:space="preserve">8. DATA PROTECTION AND ENCRYPTION</w:t>
      </w:r>
    </w:p>
    <w:p>
      <w:pPr>
        <w:pStyle w:val="Heading2"/>
        <w:spacing w:after="120" w:before="240"/>
        <w:ind/>
        <w:jc w:val="left"/>
      </w:pPr>
      <w:r>
        <w:rPr>
          <w:rFonts w:ascii="Arial" w:cs="Arial" w:eastAsia="Arial" w:hAnsi="Arial"/>
          <w:b/>
          <w:bCs/>
          <w:sz w:val="28"/>
          <w:szCs w:val="28"/>
        </w:rPr>
        <w:t xml:space="preserve">8.1 Encryption at Rest</w:t>
      </w:r>
    </w:p>
    <w:p>
      <w:pPr>
        <w:spacing w:after="120" w:before="120"/>
        <w:ind/>
        <w:jc w:val="left"/>
      </w:pPr>
      <w:r>
        <w:rPr>
          <w:rFonts w:ascii="Arial" w:cs="Arial" w:eastAsia="Arial" w:hAnsi="Arial"/>
          <w:b w:val="false"/>
          <w:bCs w:val="false"/>
          <w:sz w:val="24"/>
          <w:szCs w:val="24"/>
        </w:rPr>
        <w:t xml:space="preserve">Production systems and data at rest are encrypted using AES-256 encryption with company-managed keys. Key management is centralized through the Key Management Service (KMS) and includes:</w:t>
      </w:r>
    </w:p>
    <w:p>
      <w:pPr>
        <w:pStyle w:val="ListParagraph"/>
        <w:numPr>
          <w:ilvl w:val="0"/>
          <w:numId w:val="2"/>
        </w:numPr>
        <w:spacing w:after="120" w:before="120"/>
        <w:ind/>
        <w:jc w:val="left"/>
      </w:pPr>
      <w:r>
        <w:rPr>
          <w:rFonts w:ascii="Arial" w:cs="Arial" w:eastAsia="Arial" w:hAnsi="Arial"/>
          <w:b w:val="false"/>
          <w:bCs w:val="false"/>
          <w:sz w:val="24"/>
          <w:szCs w:val="24"/>
        </w:rPr>
        <w:t xml:space="preserve">Automatic key rotation on an annual schedule</w:t>
      </w:r>
    </w:p>
    <w:p>
      <w:pPr>
        <w:pStyle w:val="ListParagraph"/>
        <w:numPr>
          <w:ilvl w:val="0"/>
          <w:numId w:val="2"/>
        </w:numPr>
        <w:spacing w:after="120" w:before="120"/>
        <w:ind/>
        <w:jc w:val="left"/>
      </w:pPr>
      <w:r>
        <w:rPr>
          <w:rFonts w:ascii="Arial" w:cs="Arial" w:eastAsia="Arial" w:hAnsi="Arial"/>
          <w:b w:val="false"/>
          <w:bCs w:val="false"/>
          <w:sz w:val="24"/>
          <w:szCs w:val="24"/>
        </w:rPr>
        <w:t xml:space="preserve">Secure storage of encryption keys in HSMs (Hardware Security Modules)</w:t>
      </w:r>
    </w:p>
    <w:p>
      <w:pPr>
        <w:pStyle w:val="ListParagraph"/>
        <w:numPr>
          <w:ilvl w:val="0"/>
          <w:numId w:val="2"/>
        </w:numPr>
        <w:spacing w:after="120" w:before="120"/>
        <w:ind/>
        <w:jc w:val="left"/>
      </w:pPr>
      <w:r>
        <w:rPr>
          <w:rFonts w:ascii="Arial" w:cs="Arial" w:eastAsia="Arial" w:hAnsi="Arial"/>
          <w:b w:val="false"/>
          <w:bCs w:val="false"/>
          <w:sz w:val="24"/>
          <w:szCs w:val="24"/>
        </w:rPr>
        <w:t xml:space="preserve">Access logging for all key usage events</w:t>
      </w:r>
    </w:p>
    <w:p>
      <w:pPr>
        <w:spacing w:after="200" w:before="0"/>
        <w:ind/>
        <w:jc w:val="left"/>
      </w:pPr>
      <w:r>
        <w:rPr>
          <w:rFonts w:ascii="Arial" w:cs="Arial" w:eastAsia="Arial" w:hAnsi="Arial"/>
          <w:b w:val="false"/>
          <w:bCs w:val="false"/>
          <w:sz w:val="24"/>
          <w:szCs w:val="24"/>
        </w:rPr>
        <w:t xml:space="preserve"/>
      </w:r>
    </w:p>
    <w:p>
      <w:pPr>
        <w:pStyle w:val="Heading2"/>
        <w:spacing w:after="120" w:before="240"/>
        <w:ind/>
        <w:jc w:val="left"/>
      </w:pPr>
      <w:r>
        <w:rPr>
          <w:rFonts w:ascii="Arial" w:cs="Arial" w:eastAsia="Arial" w:hAnsi="Arial"/>
          <w:b/>
          <w:bCs/>
          <w:sz w:val="28"/>
          <w:szCs w:val="28"/>
        </w:rPr>
        <w:t xml:space="preserve">8.2 Encryption in Transit</w:t>
      </w:r>
    </w:p>
    <w:p>
      <w:pPr>
        <w:spacing w:after="120" w:before="120"/>
        <w:ind/>
        <w:jc w:val="left"/>
      </w:pPr>
      <w:r>
        <w:rPr>
          <w:rFonts w:ascii="Arial" w:cs="Arial" w:eastAsia="Arial" w:hAnsi="Arial"/>
          <w:b w:val="false"/>
          <w:bCs w:val="false"/>
          <w:sz w:val="24"/>
          <w:szCs w:val="24"/>
        </w:rPr>
        <w:t xml:space="preserve">All data in transit is protected using industry-standard TLS 1.2 or higher protocols:</w:t>
      </w:r>
    </w:p>
    <w:p>
      <w:pPr>
        <w:pStyle w:val="ListParagraph"/>
        <w:numPr>
          <w:ilvl w:val="0"/>
          <w:numId w:val="2"/>
        </w:numPr>
        <w:spacing w:after="120" w:before="120"/>
        <w:ind/>
        <w:jc w:val="left"/>
      </w:pPr>
      <w:r>
        <w:rPr>
          <w:rFonts w:ascii="Arial" w:cs="Arial" w:eastAsia="Arial" w:hAnsi="Arial"/>
          <w:b w:val="false"/>
          <w:bCs w:val="false"/>
          <w:sz w:val="24"/>
          <w:szCs w:val="24"/>
        </w:rPr>
        <w:t xml:space="preserve">API traffic uses mutual TLS (mTLS) authentication</w:t>
      </w:r>
    </w:p>
    <w:p>
      <w:pPr>
        <w:pStyle w:val="ListParagraph"/>
        <w:numPr>
          <w:ilvl w:val="0"/>
          <w:numId w:val="2"/>
        </w:numPr>
        <w:spacing w:after="120" w:before="120"/>
        <w:ind/>
        <w:jc w:val="left"/>
      </w:pPr>
      <w:r>
        <w:rPr>
          <w:rFonts w:ascii="Arial" w:cs="Arial" w:eastAsia="Arial" w:hAnsi="Arial"/>
          <w:b w:val="false"/>
          <w:bCs w:val="false"/>
          <w:sz w:val="24"/>
          <w:szCs w:val="24"/>
        </w:rPr>
        <w:t xml:space="preserve">Email is transmitted using TLS encryption</w:t>
      </w:r>
    </w:p>
    <w:p>
      <w:pPr>
        <w:pStyle w:val="ListParagraph"/>
        <w:numPr>
          <w:ilvl w:val="0"/>
          <w:numId w:val="2"/>
        </w:numPr>
        <w:spacing w:after="120" w:before="120"/>
        <w:ind/>
        <w:jc w:val="left"/>
      </w:pPr>
      <w:r>
        <w:rPr>
          <w:rFonts w:ascii="Arial" w:cs="Arial" w:eastAsia="Arial" w:hAnsi="Arial"/>
          <w:b w:val="false"/>
          <w:bCs w:val="false"/>
          <w:sz w:val="24"/>
          <w:szCs w:val="24"/>
        </w:rPr>
        <w:t xml:space="preserve">SFTP and SSH are used for secure file transfer</w:t>
      </w:r>
    </w:p>
    <w:p>
      <w:pPr>
        <w:spacing w:after="200" w:before="0"/>
        <w:ind/>
        <w:jc w:val="left"/>
      </w:pPr>
      <w:r>
        <w:rPr>
          <w:rFonts w:ascii="Arial" w:cs="Arial" w:eastAsia="Arial" w:hAnsi="Arial"/>
          <w:b w:val="false"/>
          <w:bCs w:val="false"/>
          <w:sz w:val="24"/>
          <w:szCs w:val="24"/>
        </w:rPr>
        <w:t xml:space="preserve"/>
      </w:r>
    </w:p>
    <w:p>
      <w:pPr>
        <w:pStyle w:val="Heading2"/>
        <w:spacing w:after="120" w:before="240"/>
        <w:ind/>
        <w:jc w:val="left"/>
      </w:pPr>
      <w:r>
        <w:rPr>
          <w:rFonts w:ascii="Arial" w:cs="Arial" w:eastAsia="Arial" w:hAnsi="Arial"/>
          <w:b/>
          <w:bCs/>
          <w:sz w:val="28"/>
          <w:szCs w:val="28"/>
        </w:rPr>
        <w:t xml:space="preserve">8.3 Data Handling and Storage</w:t>
      </w:r>
    </w:p>
    <w:p>
      <w:pPr>
        <w:spacing w:after="120" w:before="120"/>
        <w:ind/>
        <w:jc w:val="left"/>
      </w:pPr>
      <w:r>
        <w:rPr>
          <w:rFonts w:ascii="Arial" w:cs="Arial" w:eastAsia="Arial" w:hAnsi="Arial"/>
          <w:b w:val="false"/>
          <w:bCs w:val="false"/>
          <w:sz w:val="24"/>
          <w:szCs w:val="24"/>
        </w:rPr>
        <w:t xml:space="preserve">Company data is protected through:</w:t>
      </w:r>
    </w:p>
    <w:p>
      <w:pPr>
        <w:pStyle w:val="ListParagraph"/>
        <w:numPr>
          <w:ilvl w:val="0"/>
          <w:numId w:val="2"/>
        </w:numPr>
        <w:spacing w:after="120" w:before="120"/>
        <w:ind/>
        <w:jc w:val="left"/>
      </w:pPr>
      <w:r>
        <w:rPr>
          <w:rFonts w:ascii="Arial" w:cs="Arial" w:eastAsia="Arial" w:hAnsi="Arial"/>
          <w:b w:val="false"/>
          <w:bCs w:val="false"/>
          <w:sz w:val="24"/>
          <w:szCs w:val="24"/>
        </w:rPr>
        <w:t xml:space="preserve">Restricted access to data storage locations based on role and need-to-know</w:t>
      </w:r>
    </w:p>
    <w:p>
      <w:pPr>
        <w:pStyle w:val="ListParagraph"/>
        <w:numPr>
          <w:ilvl w:val="0"/>
          <w:numId w:val="2"/>
        </w:numPr>
        <w:spacing w:after="120" w:before="120"/>
        <w:ind/>
        <w:jc w:val="left"/>
      </w:pPr>
      <w:r>
        <w:rPr>
          <w:rFonts w:ascii="Arial" w:cs="Arial" w:eastAsia="Arial" w:hAnsi="Arial"/>
          <w:b w:val="false"/>
          <w:bCs w:val="false"/>
          <w:sz w:val="24"/>
          <w:szCs w:val="24"/>
        </w:rPr>
        <w:t xml:space="preserve">Secure deletion of data when no longer needed (wiping with cryptographic erasure)</w:t>
      </w:r>
    </w:p>
    <w:p>
      <w:pPr>
        <w:pStyle w:val="ListParagraph"/>
        <w:numPr>
          <w:ilvl w:val="0"/>
          <w:numId w:val="2"/>
        </w:numPr>
        <w:spacing w:after="120" w:before="120"/>
        <w:ind/>
        <w:jc w:val="left"/>
      </w:pPr>
      <w:r>
        <w:rPr>
          <w:rFonts w:ascii="Arial" w:cs="Arial" w:eastAsia="Arial" w:hAnsi="Arial"/>
          <w:b w:val="false"/>
          <w:bCs w:val="false"/>
          <w:sz w:val="24"/>
          <w:szCs w:val="24"/>
        </w:rPr>
        <w:t xml:space="preserve">Data loss prevention (DLP) tools monitoring sensitive information flows</w:t>
      </w:r>
    </w:p>
    <w:p>
      <w:pPr>
        <w:pStyle w:val="ListParagraph"/>
        <w:numPr>
          <w:ilvl w:val="0"/>
          <w:numId w:val="2"/>
        </w:numPr>
        <w:spacing w:after="120" w:before="120"/>
        <w:ind/>
        <w:jc w:val="left"/>
      </w:pPr>
      <w:r>
        <w:rPr>
          <w:rFonts w:ascii="Arial" w:cs="Arial" w:eastAsia="Arial" w:hAnsi="Arial"/>
          <w:b w:val="false"/>
          <w:bCs w:val="false"/>
          <w:sz w:val="24"/>
          <w:szCs w:val="24"/>
        </w:rPr>
        <w:t xml:space="preserve">Regular backups stored in encrypted, geographically distributed locations</w:t>
      </w:r>
    </w:p>
    <w:p>
      <w:pPr>
        <w:spacing w:after="200" w:before="0"/>
        <w:ind/>
        <w:jc w:val="left"/>
      </w:pPr>
      <w:r>
        <w:rPr>
          <w:rFonts w:ascii="Arial" w:cs="Arial" w:eastAsia="Arial" w:hAnsi="Arial"/>
          <w:b w:val="false"/>
          <w:bCs w:val="false"/>
          <w:sz w:val="24"/>
          <w:szCs w:val="24"/>
        </w:rPr>
        <w:t xml:space="preserve"/>
      </w:r>
    </w:p>
    <w:p>
      <w:pPr>
        <w:pStyle w:val="Heading1"/>
        <w:spacing w:after="120" w:before="240"/>
        <w:ind/>
        <w:jc w:val="left"/>
      </w:pPr>
      <w:r>
        <w:rPr>
          <w:rFonts w:ascii="Arial" w:cs="Arial" w:eastAsia="Arial" w:hAnsi="Arial"/>
          <w:b/>
          <w:bCs/>
          <w:sz w:val="32"/>
          <w:szCs w:val="32"/>
        </w:rPr>
        <w:t xml:space="preserve">9. VULNERABILITY MANAGEMENT</w:t>
      </w:r>
    </w:p>
    <w:p>
      <w:pPr>
        <w:pStyle w:val="Heading2"/>
        <w:spacing w:after="120" w:before="240"/>
        <w:ind/>
        <w:jc w:val="left"/>
      </w:pPr>
      <w:r>
        <w:rPr>
          <w:rFonts w:ascii="Arial" w:cs="Arial" w:eastAsia="Arial" w:hAnsi="Arial"/>
          <w:b/>
          <w:bCs/>
          <w:sz w:val="28"/>
          <w:szCs w:val="28"/>
        </w:rPr>
        <w:t xml:space="preserve">9.1 Vulnerability Scanning</w:t>
      </w:r>
    </w:p>
    <w:p>
      <w:pPr>
        <w:spacing w:after="120" w:before="120"/>
        <w:ind/>
        <w:jc w:val="left"/>
      </w:pPr>
      <w:r>
        <w:rPr>
          <w:rFonts w:ascii="Arial" w:cs="Arial" w:eastAsia="Arial" w:hAnsi="Arial"/>
          <w:b w:val="false"/>
          <w:bCs w:val="false"/>
          <w:sz w:val="24"/>
          <w:szCs w:val="24"/>
        </w:rPr>
        <w:t xml:space="preserve">Automated vulnerability scanning is performed on all systems at least weekly. Systems are scanned using industry-standard tools, and results are reviewed by security personnel.</w:t>
      </w:r>
    </w:p>
    <w:p>
      <w:pPr>
        <w:spacing w:after="200" w:before="0"/>
        <w:ind/>
        <w:jc w:val="left"/>
      </w:pPr>
      <w:r>
        <w:rPr>
          <w:rFonts w:ascii="Arial" w:cs="Arial" w:eastAsia="Arial" w:hAnsi="Arial"/>
          <w:b w:val="false"/>
          <w:bCs w:val="false"/>
          <w:sz w:val="24"/>
          <w:szCs w:val="24"/>
        </w:rPr>
        <w:t xml:space="preserve"/>
      </w:r>
    </w:p>
    <w:p>
      <w:pPr>
        <w:pStyle w:val="Heading2"/>
        <w:spacing w:after="120" w:before="240"/>
        <w:ind/>
        <w:jc w:val="left"/>
      </w:pPr>
      <w:r>
        <w:rPr>
          <w:rFonts w:ascii="Arial" w:cs="Arial" w:eastAsia="Arial" w:hAnsi="Arial"/>
          <w:b/>
          <w:bCs/>
          <w:sz w:val="28"/>
          <w:szCs w:val="28"/>
        </w:rPr>
        <w:t xml:space="preserve">9.2 Patch Management</w:t>
      </w:r>
    </w:p>
    <w:p>
      <w:pPr>
        <w:spacing w:after="120" w:before="120"/>
        <w:ind/>
        <w:jc w:val="left"/>
      </w:pPr>
      <w:r>
        <w:rPr>
          <w:rFonts w:ascii="Arial" w:cs="Arial" w:eastAsia="Arial" w:hAnsi="Arial"/>
          <w:b w:val="false"/>
          <w:bCs w:val="false"/>
          <w:sz w:val="24"/>
          <w:szCs w:val="24"/>
        </w:rPr>
        <w:t xml:space="preserve">Security patches for operating systems and applications are applied according to risk levels:</w:t>
      </w:r>
    </w:p>
    <w:p>
      <w:pPr>
        <w:pStyle w:val="ListParagraph"/>
        <w:numPr>
          <w:ilvl w:val="0"/>
          <w:numId w:val="2"/>
        </w:numPr>
        <w:spacing w:after="120" w:before="120"/>
        <w:ind/>
        <w:jc w:val="left"/>
      </w:pPr>
      <w:r>
        <w:rPr>
          <w:rFonts w:ascii="Arial" w:cs="Arial" w:eastAsia="Arial" w:hAnsi="Arial"/>
          <w:b w:val="false"/>
          <w:bCs w:val="false"/>
          <w:sz w:val="24"/>
          <w:szCs w:val="24"/>
        </w:rPr>
        <w:t xml:space="preserve">Critical vulnerabilities: within 24-48 hours</w:t>
      </w:r>
    </w:p>
    <w:p>
      <w:pPr>
        <w:pStyle w:val="ListParagraph"/>
        <w:numPr>
          <w:ilvl w:val="0"/>
          <w:numId w:val="2"/>
        </w:numPr>
        <w:spacing w:after="120" w:before="120"/>
        <w:ind/>
        <w:jc w:val="left"/>
      </w:pPr>
      <w:r>
        <w:rPr>
          <w:rFonts w:ascii="Arial" w:cs="Arial" w:eastAsia="Arial" w:hAnsi="Arial"/>
          <w:b w:val="false"/>
          <w:bCs w:val="false"/>
          <w:sz w:val="24"/>
          <w:szCs w:val="24"/>
        </w:rPr>
        <w:t xml:space="preserve">High severity: within 1 week</w:t>
      </w:r>
    </w:p>
    <w:p>
      <w:pPr>
        <w:pStyle w:val="ListParagraph"/>
        <w:numPr>
          <w:ilvl w:val="0"/>
          <w:numId w:val="2"/>
        </w:numPr>
        <w:spacing w:after="120" w:before="120"/>
        <w:ind/>
        <w:jc w:val="left"/>
      </w:pPr>
      <w:r>
        <w:rPr>
          <w:rFonts w:ascii="Arial" w:cs="Arial" w:eastAsia="Arial" w:hAnsi="Arial"/>
          <w:b w:val="false"/>
          <w:bCs w:val="false"/>
          <w:sz w:val="24"/>
          <w:szCs w:val="24"/>
        </w:rPr>
        <w:t xml:space="preserve">Medium severity: within 2 weeks</w:t>
      </w:r>
    </w:p>
    <w:p>
      <w:pPr>
        <w:pStyle w:val="ListParagraph"/>
        <w:numPr>
          <w:ilvl w:val="0"/>
          <w:numId w:val="2"/>
        </w:numPr>
        <w:spacing w:after="120" w:before="120"/>
        <w:ind/>
        <w:jc w:val="left"/>
      </w:pPr>
      <w:r>
        <w:rPr>
          <w:rFonts w:ascii="Arial" w:cs="Arial" w:eastAsia="Arial" w:hAnsi="Arial"/>
          <w:b w:val="false"/>
          <w:bCs w:val="false"/>
          <w:sz w:val="24"/>
          <w:szCs w:val="24"/>
        </w:rPr>
        <w:t xml:space="preserve">Low severity: within 30 days</w:t>
      </w:r>
    </w:p>
    <w:p>
      <w:pPr>
        <w:spacing w:after="200" w:before="0"/>
        <w:ind/>
        <w:jc w:val="left"/>
      </w:pPr>
      <w:r>
        <w:rPr>
          <w:rFonts w:ascii="Arial" w:cs="Arial" w:eastAsia="Arial" w:hAnsi="Arial"/>
          <w:b w:val="false"/>
          <w:bCs w:val="false"/>
          <w:sz w:val="24"/>
          <w:szCs w:val="24"/>
        </w:rPr>
        <w:t xml:space="preserve"/>
      </w:r>
    </w:p>
    <w:p>
      <w:r>
        <w:br w:type="page"/>
      </w:r>
    </w:p>
    <w:p>
      <w:pPr>
        <w:pStyle w:val="Heading1"/>
        <w:spacing w:after="120" w:before="240"/>
        <w:ind/>
        <w:jc w:val="left"/>
      </w:pPr>
      <w:r>
        <w:rPr>
          <w:rFonts w:ascii="Arial" w:cs="Arial" w:eastAsia="Arial" w:hAnsi="Arial"/>
          <w:b/>
          <w:bCs/>
          <w:sz w:val="32"/>
          <w:szCs w:val="32"/>
        </w:rPr>
        <w:t xml:space="preserve">10. INCIDENT RESPONSE</w:t>
      </w:r>
    </w:p>
    <w:p>
      <w:pPr>
        <w:pStyle w:val="Heading2"/>
        <w:spacing w:after="120" w:before="240"/>
        <w:ind/>
        <w:jc w:val="left"/>
      </w:pPr>
      <w:r>
        <w:rPr>
          <w:rFonts w:ascii="Arial" w:cs="Arial" w:eastAsia="Arial" w:hAnsi="Arial"/>
          <w:b/>
          <w:bCs/>
          <w:sz w:val="28"/>
          <w:szCs w:val="28"/>
        </w:rPr>
        <w:t xml:space="preserve">10.1 Incident Response Team</w:t>
      </w:r>
    </w:p>
    <w:p>
      <w:pPr>
        <w:spacing w:after="120" w:before="120"/>
        <w:ind/>
        <w:jc w:val="left"/>
      </w:pPr>
      <w:r>
        <w:rPr>
          <w:rFonts w:ascii="Arial" w:cs="Arial" w:eastAsia="Arial" w:hAnsi="Arial"/>
          <w:b w:val="false"/>
          <w:bCs w:val="false"/>
          <w:sz w:val="24"/>
          <w:szCs w:val="24"/>
        </w:rPr>
        <w:t xml:space="preserve">An Incident Response Team (IRT) is maintained to detect, investigate, and remediate security incidents. The team includes representation from IT Security, Operations, Legal, and Management.</w:t>
      </w:r>
    </w:p>
    <w:p>
      <w:pPr>
        <w:spacing w:after="200" w:before="0"/>
        <w:ind/>
        <w:jc w:val="left"/>
      </w:pPr>
      <w:r>
        <w:rPr>
          <w:rFonts w:ascii="Arial" w:cs="Arial" w:eastAsia="Arial" w:hAnsi="Arial"/>
          <w:b w:val="false"/>
          <w:bCs w:val="false"/>
          <w:sz w:val="24"/>
          <w:szCs w:val="24"/>
        </w:rPr>
        <w:t xml:space="preserve"/>
      </w:r>
    </w:p>
    <w:p>
      <w:pPr>
        <w:pStyle w:val="Heading2"/>
        <w:spacing w:after="120" w:before="240"/>
        <w:ind/>
        <w:jc w:val="left"/>
      </w:pPr>
      <w:r>
        <w:rPr>
          <w:rFonts w:ascii="Arial" w:cs="Arial" w:eastAsia="Arial" w:hAnsi="Arial"/>
          <w:b/>
          <w:bCs/>
          <w:sz w:val="28"/>
          <w:szCs w:val="28"/>
        </w:rPr>
        <w:t xml:space="preserve">10.2 Incident Classification</w:t>
      </w:r>
    </w:p>
    <w:p>
      <w:pPr>
        <w:spacing w:after="120" w:before="120"/>
        <w:ind/>
        <w:jc w:val="left"/>
      </w:pPr>
      <w:r>
        <w:rPr>
          <w:rFonts w:ascii="Arial" w:cs="Arial" w:eastAsia="Arial" w:hAnsi="Arial"/>
          <w:b w:val="false"/>
          <w:bCs w:val="false"/>
          <w:sz w:val="24"/>
          <w:szCs w:val="24"/>
        </w:rPr>
        <w:t xml:space="preserve">Security incidents are classified by severity:</w:t>
      </w:r>
    </w:p>
    <w:p>
      <w:pPr>
        <w:pStyle w:val="ListParagraph"/>
        <w:numPr>
          <w:ilvl w:val="0"/>
          <w:numId w:val="2"/>
        </w:numPr>
        <w:spacing w:after="120" w:before="120"/>
        <w:ind/>
        <w:jc w:val="left"/>
      </w:pPr>
      <w:r>
        <w:rPr>
          <w:rFonts w:ascii="Arial" w:cs="Arial" w:eastAsia="Arial" w:hAnsi="Arial"/>
          <w:b w:val="false"/>
          <w:bCs w:val="false"/>
          <w:sz w:val="24"/>
          <w:szCs w:val="24"/>
        </w:rPr>
        <w:t xml:space="preserve">Critical: Active breach affecting multiple systems or large data exposure</w:t>
      </w:r>
    </w:p>
    <w:p>
      <w:pPr>
        <w:pStyle w:val="ListParagraph"/>
        <w:numPr>
          <w:ilvl w:val="0"/>
          <w:numId w:val="2"/>
        </w:numPr>
        <w:spacing w:after="120" w:before="120"/>
        <w:ind/>
        <w:jc w:val="left"/>
      </w:pPr>
      <w:r>
        <w:rPr>
          <w:rFonts w:ascii="Arial" w:cs="Arial" w:eastAsia="Arial" w:hAnsi="Arial"/>
          <w:b w:val="false"/>
          <w:bCs w:val="false"/>
          <w:sz w:val="24"/>
          <w:szCs w:val="24"/>
        </w:rPr>
        <w:t xml:space="preserve">High: Unauthorized access to sensitive data or system compromise</w:t>
      </w:r>
    </w:p>
    <w:p>
      <w:pPr>
        <w:pStyle w:val="ListParagraph"/>
        <w:numPr>
          <w:ilvl w:val="0"/>
          <w:numId w:val="2"/>
        </w:numPr>
        <w:spacing w:after="120" w:before="120"/>
        <w:ind/>
        <w:jc w:val="left"/>
      </w:pPr>
      <w:r>
        <w:rPr>
          <w:rFonts w:ascii="Arial" w:cs="Arial" w:eastAsia="Arial" w:hAnsi="Arial"/>
          <w:b w:val="false"/>
          <w:bCs w:val="false"/>
          <w:sz w:val="24"/>
          <w:szCs w:val="24"/>
        </w:rPr>
        <w:t xml:space="preserve">Medium: Policy violations or unsuccessful attack attempts</w:t>
      </w:r>
    </w:p>
    <w:p>
      <w:pPr>
        <w:pStyle w:val="ListParagraph"/>
        <w:numPr>
          <w:ilvl w:val="0"/>
          <w:numId w:val="2"/>
        </w:numPr>
        <w:spacing w:after="120" w:before="120"/>
        <w:ind/>
        <w:jc w:val="left"/>
      </w:pPr>
      <w:r>
        <w:rPr>
          <w:rFonts w:ascii="Arial" w:cs="Arial" w:eastAsia="Arial" w:hAnsi="Arial"/>
          <w:b w:val="false"/>
          <w:bCs w:val="false"/>
          <w:sz w:val="24"/>
          <w:szCs w:val="24"/>
        </w:rPr>
        <w:t xml:space="preserve">Low: Suspicious activity requiring monitoring</w:t>
      </w:r>
    </w:p>
    <w:p>
      <w:pPr>
        <w:spacing w:after="200" w:before="0"/>
        <w:ind/>
        <w:jc w:val="left"/>
      </w:pPr>
      <w:r>
        <w:rPr>
          <w:rFonts w:ascii="Arial" w:cs="Arial" w:eastAsia="Arial" w:hAnsi="Arial"/>
          <w:b w:val="false"/>
          <w:bCs w:val="false"/>
          <w:sz w:val="24"/>
          <w:szCs w:val="24"/>
        </w:rPr>
        <w:t xml:space="preserve"/>
      </w:r>
    </w:p>
    <w:p>
      <w:pPr>
        <w:pStyle w:val="Heading2"/>
        <w:spacing w:after="120" w:before="240"/>
        <w:ind/>
        <w:jc w:val="left"/>
      </w:pPr>
      <w:r>
        <w:rPr>
          <w:rFonts w:ascii="Arial" w:cs="Arial" w:eastAsia="Arial" w:hAnsi="Arial"/>
          <w:b/>
          <w:bCs/>
          <w:sz w:val="28"/>
          <w:szCs w:val="28"/>
        </w:rPr>
        <w:t xml:space="preserve">10.3 Response Procedures</w:t>
      </w:r>
    </w:p>
    <w:p>
      <w:pPr>
        <w:spacing w:after="120" w:before="120"/>
        <w:ind/>
        <w:jc w:val="left"/>
      </w:pPr>
      <w:r>
        <w:rPr>
          <w:rFonts w:ascii="Arial" w:cs="Arial" w:eastAsia="Arial" w:hAnsi="Arial"/>
          <w:b w:val="false"/>
          <w:bCs w:val="false"/>
          <w:sz w:val="24"/>
          <w:szCs w:val="24"/>
        </w:rPr>
        <w:t xml:space="preserve">Upon incident detection, the IRT:</w:t>
      </w:r>
    </w:p>
    <w:p>
      <w:pPr>
        <w:pStyle w:val="ListParagraph"/>
        <w:numPr>
          <w:ilvl w:val="0"/>
          <w:numId w:val="2"/>
        </w:numPr>
        <w:spacing w:after="120" w:before="120"/>
        <w:ind/>
        <w:jc w:val="left"/>
      </w:pPr>
      <w:r>
        <w:rPr>
          <w:rFonts w:ascii="Arial" w:cs="Arial" w:eastAsia="Arial" w:hAnsi="Arial"/>
          <w:b w:val="false"/>
          <w:bCs w:val="false"/>
          <w:sz w:val="24"/>
          <w:szCs w:val="24"/>
        </w:rPr>
        <w:t xml:space="preserve">Confirms incident occurrence and isolates affected systems</w:t>
      </w:r>
    </w:p>
    <w:p>
      <w:pPr>
        <w:pStyle w:val="ListParagraph"/>
        <w:numPr>
          <w:ilvl w:val="0"/>
          <w:numId w:val="2"/>
        </w:numPr>
        <w:spacing w:after="120" w:before="120"/>
        <w:ind/>
        <w:jc w:val="left"/>
      </w:pPr>
      <w:r>
        <w:rPr>
          <w:rFonts w:ascii="Arial" w:cs="Arial" w:eastAsia="Arial" w:hAnsi="Arial"/>
          <w:b w:val="false"/>
          <w:bCs w:val="false"/>
          <w:sz w:val="24"/>
          <w:szCs w:val="24"/>
        </w:rPr>
        <w:t xml:space="preserve">Preserves evidence for forensic analysis</w:t>
      </w:r>
    </w:p>
    <w:p>
      <w:pPr>
        <w:pStyle w:val="ListParagraph"/>
        <w:numPr>
          <w:ilvl w:val="0"/>
          <w:numId w:val="2"/>
        </w:numPr>
        <w:spacing w:after="120" w:before="120"/>
        <w:ind/>
        <w:jc w:val="left"/>
      </w:pPr>
      <w:r>
        <w:rPr>
          <w:rFonts w:ascii="Arial" w:cs="Arial" w:eastAsia="Arial" w:hAnsi="Arial"/>
          <w:b w:val="false"/>
          <w:bCs w:val="false"/>
          <w:sz w:val="24"/>
          <w:szCs w:val="24"/>
        </w:rPr>
        <w:t xml:space="preserve">Investigates the incident to determine scope and root cause</w:t>
      </w:r>
    </w:p>
    <w:p>
      <w:pPr>
        <w:pStyle w:val="ListParagraph"/>
        <w:numPr>
          <w:ilvl w:val="0"/>
          <w:numId w:val="2"/>
        </w:numPr>
        <w:spacing w:after="120" w:before="120"/>
        <w:ind/>
        <w:jc w:val="left"/>
      </w:pPr>
      <w:r>
        <w:rPr>
          <w:rFonts w:ascii="Arial" w:cs="Arial" w:eastAsia="Arial" w:hAnsi="Arial"/>
          <w:b w:val="false"/>
          <w:bCs w:val="false"/>
          <w:sz w:val="24"/>
          <w:szCs w:val="24"/>
        </w:rPr>
        <w:t xml:space="preserve">Notifies affected parties and regulatory bodies as required</w:t>
      </w:r>
    </w:p>
    <w:p>
      <w:pPr>
        <w:pStyle w:val="ListParagraph"/>
        <w:numPr>
          <w:ilvl w:val="0"/>
          <w:numId w:val="2"/>
        </w:numPr>
        <w:spacing w:after="120" w:before="120"/>
        <w:ind/>
        <w:jc w:val="left"/>
      </w:pPr>
      <w:r>
        <w:rPr>
          <w:rFonts w:ascii="Arial" w:cs="Arial" w:eastAsia="Arial" w:hAnsi="Arial"/>
          <w:b w:val="false"/>
          <w:bCs w:val="false"/>
          <w:sz w:val="24"/>
          <w:szCs w:val="24"/>
        </w:rPr>
        <w:t xml:space="preserve">Implements remediation and recovery procedures</w:t>
      </w:r>
    </w:p>
    <w:p>
      <w:pPr>
        <w:spacing w:after="200" w:before="0"/>
        <w:ind/>
        <w:jc w:val="left"/>
      </w:pPr>
      <w:r>
        <w:rPr>
          <w:rFonts w:ascii="Arial" w:cs="Arial" w:eastAsia="Arial" w:hAnsi="Arial"/>
          <w:b w:val="false"/>
          <w:bCs w:val="false"/>
          <w:sz w:val="24"/>
          <w:szCs w:val="24"/>
        </w:rPr>
        <w:t xml:space="preserve"/>
      </w:r>
    </w:p>
    <w:p>
      <w:pPr>
        <w:pStyle w:val="Heading1"/>
        <w:spacing w:after="120" w:before="240"/>
        <w:ind/>
        <w:jc w:val="left"/>
      </w:pPr>
      <w:r>
        <w:rPr>
          <w:rFonts w:ascii="Arial" w:cs="Arial" w:eastAsia="Arial" w:hAnsi="Arial"/>
          <w:b/>
          <w:bCs/>
          <w:sz w:val="32"/>
          <w:szCs w:val="32"/>
        </w:rPr>
        <w:t xml:space="preserve">11. SECURITY AWARENESS AND TRAINING</w:t>
      </w:r>
    </w:p>
    <w:p>
      <w:pPr>
        <w:pStyle w:val="Heading2"/>
        <w:spacing w:after="120" w:before="240"/>
        <w:ind/>
        <w:jc w:val="left"/>
      </w:pPr>
      <w:r>
        <w:rPr>
          <w:rFonts w:ascii="Arial" w:cs="Arial" w:eastAsia="Arial" w:hAnsi="Arial"/>
          <w:b/>
          <w:bCs/>
          <w:sz w:val="28"/>
          <w:szCs w:val="28"/>
        </w:rPr>
        <w:t xml:space="preserve">11.1 Annual Training Requirements</w:t>
      </w:r>
    </w:p>
    <w:p>
      <w:pPr>
        <w:spacing w:after="120" w:before="120"/>
        <w:ind/>
        <w:jc w:val="left"/>
      </w:pPr>
      <w:r>
        <w:rPr>
          <w:rFonts w:ascii="Arial" w:cs="Arial" w:eastAsia="Arial" w:hAnsi="Arial"/>
          <w:b w:val="false"/>
          <w:bCs w:val="false"/>
          <w:sz w:val="24"/>
          <w:szCs w:val="24"/>
        </w:rPr>
        <w:t xml:space="preserve">All employees and contractors are required to complete annual information security awareness training covering:</w:t>
      </w:r>
    </w:p>
    <w:p>
      <w:pPr>
        <w:pStyle w:val="ListParagraph"/>
        <w:numPr>
          <w:ilvl w:val="0"/>
          <w:numId w:val="2"/>
        </w:numPr>
        <w:spacing w:after="120" w:before="120"/>
        <w:ind/>
        <w:jc w:val="left"/>
      </w:pPr>
      <w:r>
        <w:rPr>
          <w:rFonts w:ascii="Arial" w:cs="Arial" w:eastAsia="Arial" w:hAnsi="Arial"/>
          <w:b w:val="false"/>
          <w:bCs w:val="false"/>
          <w:sz w:val="24"/>
          <w:szCs w:val="24"/>
        </w:rPr>
        <w:t xml:space="preserve">Phishing and social engineering attacks</w:t>
      </w:r>
    </w:p>
    <w:p>
      <w:pPr>
        <w:pStyle w:val="ListParagraph"/>
        <w:numPr>
          <w:ilvl w:val="0"/>
          <w:numId w:val="2"/>
        </w:numPr>
        <w:spacing w:after="120" w:before="120"/>
        <w:ind/>
        <w:jc w:val="left"/>
      </w:pPr>
      <w:r>
        <w:rPr>
          <w:rFonts w:ascii="Arial" w:cs="Arial" w:eastAsia="Arial" w:hAnsi="Arial"/>
          <w:b w:val="false"/>
          <w:bCs w:val="false"/>
          <w:sz w:val="24"/>
          <w:szCs w:val="24"/>
        </w:rPr>
        <w:t xml:space="preserve">Password security and account management</w:t>
      </w:r>
    </w:p>
    <w:p>
      <w:pPr>
        <w:pStyle w:val="ListParagraph"/>
        <w:numPr>
          <w:ilvl w:val="0"/>
          <w:numId w:val="2"/>
        </w:numPr>
        <w:spacing w:after="120" w:before="120"/>
        <w:ind/>
        <w:jc w:val="left"/>
      </w:pPr>
      <w:r>
        <w:rPr>
          <w:rFonts w:ascii="Arial" w:cs="Arial" w:eastAsia="Arial" w:hAnsi="Arial"/>
          <w:b w:val="false"/>
          <w:bCs w:val="false"/>
          <w:sz w:val="24"/>
          <w:szCs w:val="24"/>
        </w:rPr>
        <w:t xml:space="preserve">Data classification and handling</w:t>
      </w:r>
    </w:p>
    <w:p>
      <w:pPr>
        <w:pStyle w:val="ListParagraph"/>
        <w:numPr>
          <w:ilvl w:val="0"/>
          <w:numId w:val="2"/>
        </w:numPr>
        <w:spacing w:after="120" w:before="120"/>
        <w:ind/>
        <w:jc w:val="left"/>
      </w:pPr>
      <w:r>
        <w:rPr>
          <w:rFonts w:ascii="Arial" w:cs="Arial" w:eastAsia="Arial" w:hAnsi="Arial"/>
          <w:b w:val="false"/>
          <w:bCs w:val="false"/>
          <w:sz w:val="24"/>
          <w:szCs w:val="24"/>
        </w:rPr>
        <w:t xml:space="preserve">Incident reporting procedures</w:t>
      </w:r>
    </w:p>
    <w:p>
      <w:pPr>
        <w:pStyle w:val="ListParagraph"/>
        <w:numPr>
          <w:ilvl w:val="0"/>
          <w:numId w:val="2"/>
        </w:numPr>
        <w:spacing w:after="120" w:before="120"/>
        <w:ind/>
        <w:jc w:val="left"/>
      </w:pPr>
      <w:r>
        <w:rPr>
          <w:rFonts w:ascii="Arial" w:cs="Arial" w:eastAsia="Arial" w:hAnsi="Arial"/>
          <w:b w:val="false"/>
          <w:bCs w:val="false"/>
          <w:sz w:val="24"/>
          <w:szCs w:val="24"/>
        </w:rPr>
        <w:t xml:space="preserve">Compliance and regulatory requirements</w:t>
      </w:r>
    </w:p>
    <w:p>
      <w:pPr>
        <w:spacing w:after="200" w:before="0"/>
        <w:ind/>
        <w:jc w:val="left"/>
      </w:pPr>
      <w:r>
        <w:rPr>
          <w:rFonts w:ascii="Arial" w:cs="Arial" w:eastAsia="Arial" w:hAnsi="Arial"/>
          <w:b w:val="false"/>
          <w:bCs w:val="false"/>
          <w:sz w:val="24"/>
          <w:szCs w:val="24"/>
        </w:rPr>
        <w:t xml:space="preserve"/>
      </w:r>
    </w:p>
    <w:p>
      <w:pPr>
        <w:pStyle w:val="Heading2"/>
        <w:spacing w:after="120" w:before="240"/>
        <w:ind/>
        <w:jc w:val="left"/>
      </w:pPr>
      <w:r>
        <w:rPr>
          <w:rFonts w:ascii="Arial" w:cs="Arial" w:eastAsia="Arial" w:hAnsi="Arial"/>
          <w:b/>
          <w:bCs/>
          <w:sz w:val="28"/>
          <w:szCs w:val="28"/>
        </w:rPr>
        <w:t xml:space="preserve">11.2 Role-Specific Training</w:t>
      </w:r>
    </w:p>
    <w:p>
      <w:pPr>
        <w:spacing w:after="120" w:before="120"/>
        <w:ind/>
        <w:jc w:val="left"/>
      </w:pPr>
      <w:r>
        <w:rPr>
          <w:rFonts w:ascii="Arial" w:cs="Arial" w:eastAsia="Arial" w:hAnsi="Arial"/>
          <w:b w:val="false"/>
          <w:bCs w:val="false"/>
          <w:sz w:val="24"/>
          <w:szCs w:val="24"/>
        </w:rPr>
        <w:t xml:space="preserve">Personnel with access to sensitive data or systems receive additional role-specific training including secure coding practices, secure administration, and data handling procedures.</w:t>
      </w:r>
    </w:p>
    <w:p>
      <w:pPr>
        <w:spacing w:after="200" w:before="0"/>
        <w:ind/>
        <w:jc w:val="left"/>
      </w:pPr>
      <w:r>
        <w:rPr>
          <w:rFonts w:ascii="Arial" w:cs="Arial" w:eastAsia="Arial" w:hAnsi="Arial"/>
          <w:b w:val="false"/>
          <w:bCs w:val="false"/>
          <w:sz w:val="24"/>
          <w:szCs w:val="24"/>
        </w:rPr>
        <w:t xml:space="preserve"/>
      </w:r>
    </w:p>
    <w:p>
      <w:pPr>
        <w:pStyle w:val="Heading2"/>
        <w:spacing w:after="120" w:before="240"/>
        <w:ind/>
        <w:jc w:val="left"/>
      </w:pPr>
      <w:r>
        <w:rPr>
          <w:rFonts w:ascii="Arial" w:cs="Arial" w:eastAsia="Arial" w:hAnsi="Arial"/>
          <w:b/>
          <w:bCs/>
          <w:sz w:val="28"/>
          <w:szCs w:val="28"/>
        </w:rPr>
        <w:t xml:space="preserve">11.3 Phishing Simulations</w:t>
      </w:r>
    </w:p>
    <w:p>
      <w:pPr>
        <w:spacing w:after="120" w:before="120"/>
        <w:ind/>
        <w:jc w:val="left"/>
      </w:pPr>
      <w:r>
        <w:rPr>
          <w:rFonts w:ascii="Arial" w:cs="Arial" w:eastAsia="Arial" w:hAnsi="Arial"/>
          <w:b w:val="false"/>
          <w:bCs w:val="false"/>
          <w:sz w:val="24"/>
          <w:szCs w:val="24"/>
        </w:rPr>
        <w:t xml:space="preserve">The company conducts regular phishing simulation exercises to test employee awareness and identify training opportunities. Results are tracked and reported to management.</w:t>
      </w:r>
    </w:p>
    <w:p>
      <w:pPr>
        <w:spacing w:after="200" w:before="0"/>
        <w:ind/>
        <w:jc w:val="left"/>
      </w:pPr>
      <w:r>
        <w:rPr>
          <w:rFonts w:ascii="Arial" w:cs="Arial" w:eastAsia="Arial" w:hAnsi="Arial"/>
          <w:b w:val="false"/>
          <w:bCs w:val="false"/>
          <w:sz w:val="24"/>
          <w:szCs w:val="24"/>
        </w:rPr>
        <w:t xml:space="preserve"/>
      </w:r>
    </w:p>
    <w:p>
      <w:pPr>
        <w:pStyle w:val="Heading1"/>
        <w:spacing w:after="120" w:before="240"/>
        <w:ind/>
        <w:jc w:val="left"/>
      </w:pPr>
      <w:r>
        <w:rPr>
          <w:rFonts w:ascii="Arial" w:cs="Arial" w:eastAsia="Arial" w:hAnsi="Arial"/>
          <w:b/>
          <w:bCs/>
          <w:sz w:val="32"/>
          <w:szCs w:val="32"/>
        </w:rPr>
        <w:t xml:space="preserve">12. COMPLIANCE AND AUDIT</w:t>
      </w:r>
    </w:p>
    <w:p>
      <w:pPr>
        <w:pStyle w:val="Heading2"/>
        <w:spacing w:after="120" w:before="240"/>
        <w:ind/>
        <w:jc w:val="left"/>
      </w:pPr>
      <w:r>
        <w:rPr>
          <w:rFonts w:ascii="Arial" w:cs="Arial" w:eastAsia="Arial" w:hAnsi="Arial"/>
          <w:b/>
          <w:bCs/>
          <w:sz w:val="28"/>
          <w:szCs w:val="28"/>
        </w:rPr>
        <w:t xml:space="preserve">12.1 Regulatory Compliance</w:t>
      </w:r>
    </w:p>
    <w:p>
      <w:pPr>
        <w:spacing w:after="120" w:before="120"/>
        <w:ind/>
        <w:jc w:val="left"/>
      </w:pPr>
      <w:r>
        <w:rPr>
          <w:rFonts w:ascii="Arial" w:cs="Arial" w:eastAsia="Arial" w:hAnsi="Arial"/>
          <w:b w:val="false"/>
          <w:bCs w:val="false"/>
          <w:sz w:val="24"/>
          <w:szCs w:val="24"/>
        </w:rPr>
        <w:t xml:space="preserve">Meridian Data Solutions operates in regulated industries including financial services. The company maintains compliance with:</w:t>
      </w:r>
    </w:p>
    <w:p>
      <w:pPr>
        <w:pStyle w:val="ListParagraph"/>
        <w:numPr>
          <w:ilvl w:val="0"/>
          <w:numId w:val="2"/>
        </w:numPr>
        <w:spacing w:after="120" w:before="120"/>
        <w:ind/>
        <w:jc w:val="left"/>
      </w:pPr>
      <w:r>
        <w:rPr>
          <w:rFonts w:ascii="Arial" w:cs="Arial" w:eastAsia="Arial" w:hAnsi="Arial"/>
          <w:b w:val="false"/>
          <w:bCs w:val="false"/>
          <w:sz w:val="24"/>
          <w:szCs w:val="24"/>
        </w:rPr>
        <w:t xml:space="preserve">SEC regulations and requirements for market data providers</w:t>
      </w:r>
    </w:p>
    <w:p>
      <w:pPr>
        <w:pStyle w:val="ListParagraph"/>
        <w:numPr>
          <w:ilvl w:val="0"/>
          <w:numId w:val="2"/>
        </w:numPr>
        <w:spacing w:after="120" w:before="120"/>
        <w:ind/>
        <w:jc w:val="left"/>
      </w:pPr>
      <w:r>
        <w:rPr>
          <w:rFonts w:ascii="Arial" w:cs="Arial" w:eastAsia="Arial" w:hAnsi="Arial"/>
          <w:b w:val="false"/>
          <w:bCs w:val="false"/>
          <w:sz w:val="24"/>
          <w:szCs w:val="24"/>
        </w:rPr>
        <w:t xml:space="preserve">FINRA rules and standards</w:t>
      </w:r>
    </w:p>
    <w:p>
      <w:pPr>
        <w:pStyle w:val="ListParagraph"/>
        <w:numPr>
          <w:ilvl w:val="0"/>
          <w:numId w:val="2"/>
        </w:numPr>
        <w:spacing w:after="120" w:before="120"/>
        <w:ind/>
        <w:jc w:val="left"/>
      </w:pPr>
      <w:r>
        <w:rPr>
          <w:rFonts w:ascii="Arial" w:cs="Arial" w:eastAsia="Arial" w:hAnsi="Arial"/>
          <w:b w:val="false"/>
          <w:bCs w:val="false"/>
          <w:sz w:val="24"/>
          <w:szCs w:val="24"/>
        </w:rPr>
        <w:t xml:space="preserve">Industry data protection regulations (GDPR, CCPA)</w:t>
      </w:r>
    </w:p>
    <w:p>
      <w:pPr>
        <w:spacing w:after="200" w:before="0"/>
        <w:ind/>
        <w:jc w:val="left"/>
      </w:pPr>
      <w:r>
        <w:rPr>
          <w:rFonts w:ascii="Arial" w:cs="Arial" w:eastAsia="Arial" w:hAnsi="Arial"/>
          <w:b w:val="false"/>
          <w:bCs w:val="false"/>
          <w:sz w:val="24"/>
          <w:szCs w:val="24"/>
        </w:rPr>
        <w:t xml:space="preserve"/>
      </w:r>
    </w:p>
    <w:p>
      <w:pPr>
        <w:pStyle w:val="Heading2"/>
        <w:spacing w:after="120" w:before="240"/>
        <w:ind/>
        <w:jc w:val="left"/>
      </w:pPr>
      <w:r>
        <w:rPr>
          <w:rFonts w:ascii="Arial" w:cs="Arial" w:eastAsia="Arial" w:hAnsi="Arial"/>
          <w:b/>
          <w:bCs/>
          <w:sz w:val="28"/>
          <w:szCs w:val="28"/>
        </w:rPr>
        <w:t xml:space="preserve">12.2 Internal Audit Program</w:t>
      </w:r>
    </w:p>
    <w:p>
      <w:pPr>
        <w:spacing w:after="120" w:before="120"/>
        <w:ind/>
        <w:jc w:val="left"/>
      </w:pPr>
      <w:r>
        <w:rPr>
          <w:rFonts w:ascii="Arial" w:cs="Arial" w:eastAsia="Arial" w:hAnsi="Arial"/>
          <w:b w:val="false"/>
          <w:bCs w:val="false"/>
          <w:sz w:val="24"/>
          <w:szCs w:val="24"/>
        </w:rPr>
        <w:t xml:space="preserve">Security controls are assessed through:</w:t>
      </w:r>
    </w:p>
    <w:p>
      <w:pPr>
        <w:pStyle w:val="ListParagraph"/>
        <w:numPr>
          <w:ilvl w:val="0"/>
          <w:numId w:val="2"/>
        </w:numPr>
        <w:spacing w:after="120" w:before="120"/>
        <w:ind/>
        <w:jc w:val="left"/>
      </w:pPr>
      <w:r>
        <w:rPr>
          <w:rFonts w:ascii="Arial" w:cs="Arial" w:eastAsia="Arial" w:hAnsi="Arial"/>
          <w:b w:val="false"/>
          <w:bCs w:val="false"/>
          <w:sz w:val="24"/>
          <w:szCs w:val="24"/>
        </w:rPr>
        <w:t xml:space="preserve">Quarterly control testing by the Internal Audit Department</w:t>
      </w:r>
    </w:p>
    <w:p>
      <w:pPr>
        <w:pStyle w:val="ListParagraph"/>
        <w:numPr>
          <w:ilvl w:val="0"/>
          <w:numId w:val="2"/>
        </w:numPr>
        <w:spacing w:after="120" w:before="120"/>
        <w:ind/>
        <w:jc w:val="left"/>
      </w:pPr>
      <w:r>
        <w:rPr>
          <w:rFonts w:ascii="Arial" w:cs="Arial" w:eastAsia="Arial" w:hAnsi="Arial"/>
          <w:b w:val="false"/>
          <w:bCs w:val="false"/>
          <w:sz w:val="24"/>
          <w:szCs w:val="24"/>
        </w:rPr>
        <w:t xml:space="preserve">Annual third-party security assessment</w:t>
      </w:r>
    </w:p>
    <w:p>
      <w:pPr>
        <w:pStyle w:val="ListParagraph"/>
        <w:numPr>
          <w:ilvl w:val="0"/>
          <w:numId w:val="2"/>
        </w:numPr>
        <w:spacing w:after="120" w:before="120"/>
        <w:ind/>
        <w:jc w:val="left"/>
      </w:pPr>
      <w:r>
        <w:rPr>
          <w:rFonts w:ascii="Arial" w:cs="Arial" w:eastAsia="Arial" w:hAnsi="Arial"/>
          <w:b w:val="false"/>
          <w:bCs w:val="false"/>
          <w:sz w:val="24"/>
          <w:szCs w:val="24"/>
        </w:rPr>
        <w:t xml:space="preserve">Continuous monitoring dashboards tracking key security metrics</w:t>
      </w:r>
    </w:p>
    <w:p>
      <w:pPr>
        <w:spacing w:after="200" w:before="0"/>
        <w:ind/>
        <w:jc w:val="left"/>
      </w:pPr>
      <w:r>
        <w:rPr>
          <w:rFonts w:ascii="Arial" w:cs="Arial" w:eastAsia="Arial" w:hAnsi="Arial"/>
          <w:b w:val="false"/>
          <w:bCs w:val="false"/>
          <w:sz w:val="24"/>
          <w:szCs w:val="24"/>
        </w:rPr>
        <w:t xml:space="preserve"/>
      </w:r>
    </w:p>
    <w:p>
      <w:pPr>
        <w:pStyle w:val="Heading2"/>
        <w:spacing w:after="120" w:before="240"/>
        <w:ind/>
        <w:jc w:val="left"/>
      </w:pPr>
      <w:r>
        <w:rPr>
          <w:rFonts w:ascii="Arial" w:cs="Arial" w:eastAsia="Arial" w:hAnsi="Arial"/>
          <w:b/>
          <w:bCs/>
          <w:sz w:val="28"/>
          <w:szCs w:val="28"/>
        </w:rPr>
        <w:t xml:space="preserve">12.3 Compliance Reporting</w:t>
      </w:r>
    </w:p>
    <w:p>
      <w:pPr>
        <w:spacing w:after="120" w:before="120"/>
        <w:ind/>
        <w:jc w:val="left"/>
      </w:pPr>
      <w:r>
        <w:rPr>
          <w:rFonts w:ascii="Arial" w:cs="Arial" w:eastAsia="Arial" w:hAnsi="Arial"/>
          <w:b w:val="false"/>
          <w:bCs w:val="false"/>
          <w:sz w:val="24"/>
          <w:szCs w:val="24"/>
        </w:rPr>
        <w:t xml:space="preserve">Security posture and compliance status are reported to:</w:t>
      </w:r>
    </w:p>
    <w:p>
      <w:pPr>
        <w:pStyle w:val="ListParagraph"/>
        <w:numPr>
          <w:ilvl w:val="0"/>
          <w:numId w:val="2"/>
        </w:numPr>
        <w:spacing w:after="120" w:before="120"/>
        <w:ind/>
        <w:jc w:val="left"/>
      </w:pPr>
      <w:r>
        <w:rPr>
          <w:rFonts w:ascii="Arial" w:cs="Arial" w:eastAsia="Arial" w:hAnsi="Arial"/>
          <w:b w:val="false"/>
          <w:bCs w:val="false"/>
          <w:sz w:val="24"/>
          <w:szCs w:val="24"/>
        </w:rPr>
        <w:t xml:space="preserve">The Board of Directors (quarterly)</w:t>
      </w:r>
    </w:p>
    <w:p>
      <w:pPr>
        <w:pStyle w:val="ListParagraph"/>
        <w:numPr>
          <w:ilvl w:val="0"/>
          <w:numId w:val="2"/>
        </w:numPr>
        <w:spacing w:after="120" w:before="120"/>
        <w:ind/>
        <w:jc w:val="left"/>
      </w:pPr>
      <w:r>
        <w:rPr>
          <w:rFonts w:ascii="Arial" w:cs="Arial" w:eastAsia="Arial" w:hAnsi="Arial"/>
          <w:b w:val="false"/>
          <w:bCs w:val="false"/>
          <w:sz w:val="24"/>
          <w:szCs w:val="24"/>
        </w:rPr>
        <w:t xml:space="preserve">The Risk and Audit Committee (quarterly)</w:t>
      </w:r>
    </w:p>
    <w:p>
      <w:pPr>
        <w:pStyle w:val="ListParagraph"/>
        <w:numPr>
          <w:ilvl w:val="0"/>
          <w:numId w:val="2"/>
        </w:numPr>
        <w:spacing w:after="120" w:before="120"/>
        <w:ind/>
        <w:jc w:val="left"/>
      </w:pPr>
      <w:r>
        <w:rPr>
          <w:rFonts w:ascii="Arial" w:cs="Arial" w:eastAsia="Arial" w:hAnsi="Arial"/>
          <w:b w:val="false"/>
          <w:bCs w:val="false"/>
          <w:sz w:val="24"/>
          <w:szCs w:val="24"/>
        </w:rPr>
        <w:t xml:space="preserve">External auditors and regulators (as required)</w:t>
      </w:r>
    </w:p>
    <w:p>
      <w:pPr>
        <w:spacing w:after="200" w:before="0"/>
        <w:ind/>
        <w:jc w:val="left"/>
      </w:pPr>
      <w:r>
        <w:rPr>
          <w:rFonts w:ascii="Arial" w:cs="Arial" w:eastAsia="Arial" w:hAnsi="Arial"/>
          <w:b w:val="false"/>
          <w:bCs w:val="false"/>
          <w:sz w:val="24"/>
          <w:szCs w:val="24"/>
        </w:rPr>
        <w:t xml:space="preserve"/>
      </w:r>
    </w:p>
    <w:p>
      <w:r>
        <w:br w:type="page"/>
      </w:r>
    </w:p>
    <w:p>
      <w:pPr>
        <w:pStyle w:val="Heading1"/>
        <w:spacing w:after="120" w:before="240"/>
        <w:ind/>
        <w:jc w:val="left"/>
      </w:pPr>
      <w:r>
        <w:rPr>
          <w:rFonts w:ascii="Arial" w:cs="Arial" w:eastAsia="Arial" w:hAnsi="Arial"/>
          <w:b/>
          <w:bCs/>
          <w:sz w:val="32"/>
          <w:szCs w:val="32"/>
        </w:rPr>
        <w:t xml:space="preserve">13. POLICY EXCEPTIONS</w:t>
      </w:r>
    </w:p>
    <w:p>
      <w:pPr>
        <w:pStyle w:val="Heading2"/>
        <w:spacing w:after="120" w:before="240"/>
        <w:ind/>
        <w:jc w:val="left"/>
      </w:pPr>
      <w:r>
        <w:rPr>
          <w:rFonts w:ascii="Arial" w:cs="Arial" w:eastAsia="Arial" w:hAnsi="Arial"/>
          <w:b/>
          <w:bCs/>
          <w:sz w:val="28"/>
          <w:szCs w:val="28"/>
        </w:rPr>
        <w:t xml:space="preserve">13.1 Exception Request Process</w:t>
      </w:r>
    </w:p>
    <w:p>
      <w:pPr>
        <w:spacing w:after="120" w:before="120"/>
        <w:ind/>
        <w:jc w:val="left"/>
      </w:pPr>
      <w:r>
        <w:rPr>
          <w:rFonts w:ascii="Arial" w:cs="Arial" w:eastAsia="Arial" w:hAnsi="Arial"/>
          <w:b w:val="false"/>
          <w:bCs w:val="false"/>
          <w:sz w:val="24"/>
          <w:szCs w:val="24"/>
        </w:rPr>
        <w:t xml:space="preserve">Exceptions to this policy require formal approval through the following process:</w:t>
      </w:r>
    </w:p>
    <w:p>
      <w:pPr>
        <w:pStyle w:val="ListParagraph"/>
        <w:numPr>
          <w:ilvl w:val="0"/>
          <w:numId w:val="2"/>
        </w:numPr>
        <w:spacing w:after="120" w:before="120"/>
        <w:ind/>
        <w:jc w:val="left"/>
      </w:pPr>
      <w:r>
        <w:rPr>
          <w:rFonts w:ascii="Arial" w:cs="Arial" w:eastAsia="Arial" w:hAnsi="Arial"/>
          <w:b w:val="false"/>
          <w:bCs w:val="false"/>
          <w:sz w:val="24"/>
          <w:szCs w:val="24"/>
        </w:rPr>
        <w:t xml:space="preserve">Submit detailed exception request to the Information Security Committee</w:t>
      </w:r>
    </w:p>
    <w:p>
      <w:pPr>
        <w:pStyle w:val="ListParagraph"/>
        <w:numPr>
          <w:ilvl w:val="0"/>
          <w:numId w:val="2"/>
        </w:numPr>
        <w:spacing w:after="120" w:before="120"/>
        <w:ind/>
        <w:jc w:val="left"/>
      </w:pPr>
      <w:r>
        <w:rPr>
          <w:rFonts w:ascii="Arial" w:cs="Arial" w:eastAsia="Arial" w:hAnsi="Arial"/>
          <w:b w:val="false"/>
          <w:bCs w:val="false"/>
          <w:sz w:val="24"/>
          <w:szCs w:val="24"/>
        </w:rPr>
        <w:t xml:space="preserve">Provide business justification and risk assessment</w:t>
      </w:r>
    </w:p>
    <w:p>
      <w:pPr>
        <w:pStyle w:val="ListParagraph"/>
        <w:numPr>
          <w:ilvl w:val="0"/>
          <w:numId w:val="2"/>
        </w:numPr>
        <w:spacing w:after="120" w:before="120"/>
        <w:ind/>
        <w:jc w:val="left"/>
      </w:pPr>
      <w:r>
        <w:rPr>
          <w:rFonts w:ascii="Arial" w:cs="Arial" w:eastAsia="Arial" w:hAnsi="Arial"/>
          <w:b w:val="false"/>
          <w:bCs w:val="false"/>
          <w:sz w:val="24"/>
          <w:szCs w:val="24"/>
        </w:rPr>
        <w:t xml:space="preserve">Identify compensating controls if applicable</w:t>
      </w:r>
    </w:p>
    <w:p>
      <w:pPr>
        <w:pStyle w:val="ListParagraph"/>
        <w:numPr>
          <w:ilvl w:val="0"/>
          <w:numId w:val="2"/>
        </w:numPr>
        <w:spacing w:after="120" w:before="120"/>
        <w:ind/>
        <w:jc w:val="left"/>
      </w:pPr>
      <w:r>
        <w:rPr>
          <w:rFonts w:ascii="Arial" w:cs="Arial" w:eastAsia="Arial" w:hAnsi="Arial"/>
          <w:b w:val="false"/>
          <w:bCs w:val="false"/>
          <w:sz w:val="24"/>
          <w:szCs w:val="24"/>
        </w:rPr>
        <w:t xml:space="preserve">Obtain sign-off from CISO and executive sponsor</w:t>
      </w:r>
    </w:p>
    <w:p>
      <w:pPr>
        <w:pStyle w:val="ListParagraph"/>
        <w:numPr>
          <w:ilvl w:val="0"/>
          <w:numId w:val="2"/>
        </w:numPr>
        <w:spacing w:after="120" w:before="120"/>
        <w:ind/>
        <w:jc w:val="left"/>
      </w:pPr>
      <w:r>
        <w:rPr>
          <w:rFonts w:ascii="Arial" w:cs="Arial" w:eastAsia="Arial" w:hAnsi="Arial"/>
          <w:b w:val="false"/>
          <w:bCs w:val="false"/>
          <w:sz w:val="24"/>
          <w:szCs w:val="24"/>
        </w:rPr>
        <w:t xml:space="preserve">Document exception with expiration date (maximum 12 months)</w:t>
      </w:r>
    </w:p>
    <w:p>
      <w:pPr>
        <w:spacing w:after="200" w:before="0"/>
        <w:ind/>
        <w:jc w:val="left"/>
      </w:pPr>
      <w:r>
        <w:rPr>
          <w:rFonts w:ascii="Arial" w:cs="Arial" w:eastAsia="Arial" w:hAnsi="Arial"/>
          <w:b w:val="false"/>
          <w:bCs w:val="false"/>
          <w:sz w:val="24"/>
          <w:szCs w:val="24"/>
        </w:rPr>
        <w:t xml:space="preserve"/>
      </w:r>
    </w:p>
    <w:p>
      <w:pPr>
        <w:pStyle w:val="Heading2"/>
        <w:spacing w:after="120" w:before="240"/>
        <w:ind/>
        <w:jc w:val="left"/>
      </w:pPr>
      <w:r>
        <w:rPr>
          <w:rFonts w:ascii="Arial" w:cs="Arial" w:eastAsia="Arial" w:hAnsi="Arial"/>
          <w:b/>
          <w:bCs/>
          <w:sz w:val="28"/>
          <w:szCs w:val="28"/>
        </w:rPr>
        <w:t xml:space="preserve">13.2 Exception Oversight</w:t>
      </w:r>
    </w:p>
    <w:p>
      <w:pPr>
        <w:spacing w:after="120" w:before="120"/>
        <w:ind/>
        <w:jc w:val="left"/>
      </w:pPr>
      <w:r>
        <w:rPr>
          <w:rFonts w:ascii="Arial" w:cs="Arial" w:eastAsia="Arial" w:hAnsi="Arial"/>
          <w:b w:val="false"/>
          <w:bCs w:val="false"/>
          <w:sz w:val="24"/>
          <w:szCs w:val="24"/>
        </w:rPr>
        <w:t xml:space="preserve">All active exceptions are tracked in a centralized register and reviewed quarterly by the Information Security Committee.</w:t>
      </w:r>
    </w:p>
    <w:p>
      <w:pPr>
        <w:spacing w:after="200" w:before="0"/>
        <w:ind/>
        <w:jc w:val="left"/>
      </w:pPr>
      <w:r>
        <w:rPr>
          <w:rFonts w:ascii="Arial" w:cs="Arial" w:eastAsia="Arial" w:hAnsi="Arial"/>
          <w:b w:val="false"/>
          <w:bCs w:val="false"/>
          <w:sz w:val="24"/>
          <w:szCs w:val="24"/>
        </w:rPr>
        <w:t xml:space="preserve"/>
      </w:r>
    </w:p>
    <w:p>
      <w:pPr>
        <w:pStyle w:val="Heading1"/>
        <w:spacing w:after="120" w:before="240"/>
        <w:ind/>
        <w:jc w:val="left"/>
      </w:pPr>
      <w:r>
        <w:rPr>
          <w:rFonts w:ascii="Arial" w:cs="Arial" w:eastAsia="Arial" w:hAnsi="Arial"/>
          <w:b/>
          <w:bCs/>
          <w:sz w:val="32"/>
          <w:szCs w:val="32"/>
        </w:rPr>
        <w:t xml:space="preserve">14.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800"/>
        <w:gridCol w:w="48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Version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Date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Author</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Changes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March 15, 2023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David Chen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Initial policy release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September 10, 2023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David Chen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Added cloud security requirements, updated data classification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3.0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March 12, 2024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David Chen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Enhanced access control framework, added MFA requirements for remote access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3.5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September 15, 2024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David Chen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Updated vulnerability management timelines, added penetration testing requirements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4.0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December 20, 2024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David Chen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Revised governance structure, added Incident Response procedures, aligned with ISO 27001:2022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4.2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March 15, 2025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David Chen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Enhanced access control tier definitions, clarified authentication requirements by access level</w:t>
            </w:r>
          </w:p>
        </w:tc>
      </w:tr>
    </w:tbl>
    <w:p>
      <w:pPr>
        <w:spacing w:after="400" w:before="0"/>
        <w:ind/>
        <w:jc w:val="left"/>
      </w:pPr>
      <w:r>
        <w:rPr>
          <w:rFonts w:ascii="Arial" w:cs="Arial" w:eastAsia="Arial" w:hAnsi="Arial"/>
          <w:b w:val="false"/>
          <w:bCs w:val="false"/>
          <w:sz w:val="24"/>
          <w:szCs w:val="24"/>
        </w:rPr>
        <w:t xml:space="preserve"/>
      </w:r>
    </w:p>
    <w:p>
      <w:pPr>
        <w:spacing w:after="0" w:before="200"/>
        <w:jc w:val="center"/>
      </w:pPr>
      <w:r>
        <w:rPr>
          <w:sz w:val="22"/>
          <w:szCs w:val="22"/>
        </w:rPr>
        <w:t xml:space="preserve">This document is CONFIDENTIAL and intended for authorized personnel only. Unauthorized access, use, or distribution is prohibited.</w:t>
      </w:r>
    </w:p>
    <w:p>
      <w:pPr>
        <w:spacing w:after="0" w:before="0"/>
        <w:jc w:val="center"/>
      </w:pPr>
      <w:r>
        <w:rPr>
          <w:sz w:val="22"/>
          <w:szCs w:val="22"/>
        </w:rPr>
        <w:t xml:space="preserve">© 2025 Meridian Data Solutions, Inc.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t xml:space="preserve">Information Security Policy |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before="0"/>
      <w:jc w:val="center"/>
    </w:pPr>
    <w:r>
      <w:rPr>
        <w:b/>
        <w:bCs/>
      </w:rPr>
      <w:t xml:space="preserve">CONFIDENTIAL | Meridian Data Solutions,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8"/>
      <w:szCs w:val="28"/>
    </w:rPr>
  </w:style>
  <w:style w:type="paragraph" w:styleId="Heading3">
    <w:name w:val="Heading 3"/>
    <w:basedOn w:val="Normal"/>
    <w:next w:val="Normal"/>
    <w:qFormat/>
    <w:pPr>
      <w:spacing w:after="80" w:before="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2026-04-12T14:32:47.591Z</dcterms:created>
  <dcterms:modified xsi:type="dcterms:W3CDTF">2026-04-12T14:32:47.591Z</dcterms:modified>
</cp:coreProperties>
</file>

<file path=docProps/custom.xml><?xml version="1.0" encoding="utf-8"?>
<Properties xmlns="http://schemas.openxmlformats.org/officeDocument/2006/custom-properties" xmlns:vt="http://schemas.openxmlformats.org/officeDocument/2006/docPropsVTypes"/>
</file>