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jc w:val="left"/>
      </w:pPr>
      <w:r>
        <w:rPr>
          <w:rFonts w:ascii="Consolas" w:cs="Consolas" w:eastAsia="Consolas" w:hAnsi="Consolas"/>
          <w:b/>
          <w:bCs/>
          <w:color w:val="A84A2E"/>
          <w:sz w:val="22"/>
          <w:szCs w:val="22"/>
        </w:rPr>
        <w:t xml:space="preserve">pyvar</w:t>
      </w:r>
    </w:p>
    <w:p>
      <w:pPr>
        <w:spacing w:after="200" w:before="300"/>
      </w:pPr>
      <w:r>
        <w:rPr>
          <w:rFonts w:ascii="Calibri" w:cs="Calibri" w:eastAsia="Calibri" w:hAnsi="Calibri"/>
          <w:b/>
          <w:bCs/>
          <w:color w:val="1F1E1D"/>
          <w:sz w:val="56"/>
          <w:szCs w:val="56"/>
        </w:rPr>
        <w:t xml:space="preserve">Open financial risk
infrastructure, in the open.</w:t>
      </w:r>
    </w:p>
    <w:p>
      <w:pPr>
        <w:spacing w:after="600"/>
      </w:pPr>
      <w:r>
        <w:rPr>
          <w:rFonts w:ascii="Calibri" w:cs="Calibri" w:eastAsia="Calibri" w:hAnsi="Calibri"/>
          <w:i/>
          <w:iCs/>
          <w:color w:val="6B6862"/>
          <w:sz w:val="28"/>
          <w:szCs w:val="28"/>
        </w:rPr>
        <w:t xml:space="preserve">A grant brief for pyvar.com — adapted for NLnet</w:t>
      </w:r>
    </w:p>
    <w:p>
      <w:pPr>
        <w:spacing w:after="60"/>
      </w:pPr>
      <w:r>
        <w:rPr>
          <w:rFonts w:ascii="Consolas" w:cs="Consolas" w:eastAsia="Consolas" w:hAnsi="Consolas"/>
          <w:b/>
          <w:bCs/>
          <w:color w:val="1F1E1D"/>
          <w:sz w:val="20"/>
          <w:szCs w:val="20"/>
        </w:rPr>
        <w:t xml:space="preserve">Applicant  </w:t>
      </w:r>
      <w:r>
        <w:rPr>
          <w:rFonts w:ascii="Calibri" w:cs="Calibri" w:eastAsia="Calibri" w:hAnsi="Calibri"/>
          <w:color w:val="6B6862"/>
          <w:sz w:val="20"/>
          <w:szCs w:val="20"/>
        </w:rPr>
        <w:t xml:space="preserve">Fibtec Limited (United Kingdom)</w:t>
      </w:r>
    </w:p>
    <w:p>
      <w:pPr>
        <w:spacing w:after="60"/>
      </w:pPr>
      <w:r>
        <w:rPr>
          <w:rFonts w:ascii="Consolas" w:cs="Consolas" w:eastAsia="Consolas" w:hAnsi="Consolas"/>
          <w:b/>
          <w:bCs/>
          <w:color w:val="1F1E1D"/>
          <w:sz w:val="20"/>
          <w:szCs w:val="20"/>
        </w:rPr>
        <w:t xml:space="preserve">Project  </w:t>
      </w:r>
      <w:r>
        <w:rPr>
          <w:rFonts w:ascii="Calibri" w:cs="Calibri" w:eastAsia="Calibri" w:hAnsi="Calibri"/>
          <w:color w:val="6B6862"/>
          <w:sz w:val="20"/>
          <w:szCs w:val="20"/>
        </w:rPr>
        <w:t xml:space="preserve">pyvar — pyvar.com</w:t>
      </w:r>
    </w:p>
    <w:p>
      <w:pPr>
        <w:spacing w:after="60"/>
      </w:pPr>
      <w:r>
        <w:rPr>
          <w:rFonts w:ascii="Consolas" w:cs="Consolas" w:eastAsia="Consolas" w:hAnsi="Consolas"/>
          <w:b/>
          <w:bCs/>
          <w:color w:val="1F1E1D"/>
          <w:sz w:val="20"/>
          <w:szCs w:val="20"/>
        </w:rPr>
        <w:t xml:space="preserve">Licence  </w:t>
      </w:r>
      <w:r>
        <w:rPr>
          <w:rFonts w:ascii="Calibri" w:cs="Calibri" w:eastAsia="Calibri" w:hAnsi="Calibri"/>
          <w:color w:val="6B6862"/>
          <w:sz w:val="20"/>
          <w:szCs w:val="20"/>
        </w:rPr>
        <w:t xml:space="preserve">Apache-2.0 (fully open source)</w:t>
      </w:r>
    </w:p>
    <w:p>
      <w:pPr>
        <w:spacing w:after="60"/>
      </w:pPr>
      <w:r>
        <w:rPr>
          <w:rFonts w:ascii="Consolas" w:cs="Consolas" w:eastAsia="Consolas" w:hAnsi="Consolas"/>
          <w:b/>
          <w:bCs/>
          <w:color w:val="1F1E1D"/>
          <w:sz w:val="20"/>
          <w:szCs w:val="20"/>
        </w:rPr>
        <w:t xml:space="preserve">Prepared for  </w:t>
      </w:r>
      <w:r>
        <w:rPr>
          <w:rFonts w:ascii="Calibri" w:cs="Calibri" w:eastAsia="Calibri" w:hAnsi="Calibri"/>
          <w:color w:val="6B6862"/>
          <w:sz w:val="20"/>
          <w:szCs w:val="20"/>
        </w:rPr>
        <w:t xml:space="preserve">NLnet Foundation (nlnet.nl)</w:t>
      </w:r>
    </w:p>
    <w:p>
      <w:pPr>
        <w:spacing w:after="60"/>
      </w:pPr>
      <w:r>
        <w:rPr>
          <w:rFonts w:ascii="Consolas" w:cs="Consolas" w:eastAsia="Consolas" w:hAnsi="Consolas"/>
          <w:b/>
          <w:bCs/>
          <w:color w:val="1F1E1D"/>
          <w:sz w:val="20"/>
          <w:szCs w:val="20"/>
        </w:rPr>
        <w:t xml:space="preserve">Prepared  </w:t>
      </w:r>
      <w:r>
        <w:rPr>
          <w:rFonts w:ascii="Calibri" w:cs="Calibri" w:eastAsia="Calibri" w:hAnsi="Calibri"/>
          <w:color w:val="6B6862"/>
          <w:sz w:val="20"/>
          <w:szCs w:val="20"/>
        </w:rPr>
        <w:t xml:space="preserve">September 2026</w:t>
      </w:r>
    </w:p>
    <w:p>
      <w:pPr>
        <w:spacing w:after="60"/>
      </w:pPr>
      <w:r>
        <w:rPr>
          <w:rFonts w:ascii="Consolas" w:cs="Consolas" w:eastAsia="Consolas" w:hAnsi="Consolas"/>
          <w:b/>
          <w:bCs/>
          <w:color w:val="1F1E1D"/>
          <w:sz w:val="20"/>
          <w:szCs w:val="20"/>
        </w:rPr>
        <w:t xml:space="preserve">Contact  </w:t>
      </w:r>
      <w:r>
        <w:rPr>
          <w:rFonts w:ascii="Calibri" w:cs="Calibri" w:eastAsia="Calibri" w:hAnsi="Calibri"/>
          <w:color w:val="6B6862"/>
          <w:sz w:val="20"/>
          <w:szCs w:val="20"/>
        </w:rPr>
        <w:t xml:space="preserve">info@fibtec.co.uk · https://fibtec.co.uk</w:t>
      </w:r>
    </w:p>
    <w:p>
      <w:r>
        <w:br w:type="page"/>
      </w:r>
    </w:p>
    <w:p>
      <w:pPr>
        <w:pStyle w:val="Heading1"/>
        <w:pBdr>
          <w:bottom w:val="single" w:color="A84A2E" w:sz="8" w:space="4"/>
        </w:pBdr>
        <w:spacing w:after="200" w:before="400"/>
      </w:pPr>
      <w:r>
        <w:rPr>
          <w:rFonts w:ascii="Calibri" w:cs="Calibri" w:eastAsia="Calibri" w:hAnsi="Calibri"/>
          <w:b/>
          <w:bCs/>
          <w:color w:val="1F1E1D"/>
          <w:sz w:val="30"/>
          <w:szCs w:val="30"/>
        </w:rPr>
        <w:t xml:space="preserve">Before you submit this — read this note</w:t>
      </w:r>
    </w:p>
    <w:p>
      <w:pPr>
        <w:pBdr>
          <w:left w:val="single" w:color="4C6B7A" w:sz="16" w:space="6"/>
        </w:pBdr>
        <w:shd w:fill="F3F1EA" w:val="clear"/>
        <w:spacing w:after="240" w:before="80" w:line="280"/>
        <w:ind w:left="200"/>
      </w:pPr>
      <w:r>
        <w:rPr>
          <w:rFonts w:ascii="Calibri" w:cs="Calibri" w:eastAsia="Calibri" w:hAnsi="Calibri"/>
          <w:i/>
          <w:iCs/>
          <w:color w:val="6B6862"/>
          <w:sz w:val="19"/>
          <w:szCs w:val="19"/>
        </w:rPr>
        <w:t xml:space="preserve">NLnet's fund restructuring, flagged as open when this brief was first drafted, has since resolved: NGI Zero Commons Fund took its final call on 2026-06-01 and has been absorbed into a new umbrella, "Open Internet Stack." The right-fit successor for pyvar is Restack — it explicitly funds "security proofs and audits," matching this brief's own framing almost word for word. Terms: grants of €5,000–€50,000 per project (this brief's own €33k–50k ask sits inside that range), a €7 million pool through 2030, deadline 2026-11-03. (CodeSupply, a second new programme with the same budget range and deadline, is themed around software supply-chain security/SBOM work — not a fit for what pyvar actually is; not the target here.) Important: NLnet's real submission mechanism is a short, plain-English web form at nlnet.nl/propose/ (roughly six short questions, 1–2 pages total), not a long-form document like this one — this brief is source material to draw condensed answers from, not the literal thing to submit. Verify the exact fund name and the form's current questions directly against nlnet.nl before submitting.</w:t>
      </w:r>
    </w:p>
    <w:p>
      <w:pPr>
        <w:pStyle w:val="Heading1"/>
        <w:pBdr>
          <w:bottom w:val="single" w:color="A84A2E" w:sz="8" w:space="4"/>
        </w:pBdr>
        <w:spacing w:after="200" w:before="400"/>
      </w:pPr>
      <w:r>
        <w:rPr>
          <w:rFonts w:ascii="Calibri" w:cs="Calibri" w:eastAsia="Calibri" w:hAnsi="Calibri"/>
          <w:b/>
          <w:bCs/>
          <w:color w:val="1F1E1D"/>
          <w:sz w:val="30"/>
          <w:szCs w:val="30"/>
        </w:rPr>
        <w:t xml:space="preserve">Executive summary</w:t>
      </w:r>
    </w:p>
    <w:p>
      <w:pPr>
        <w:spacing w:after="240" w:line="320"/>
      </w:pPr>
      <w:r>
        <w:rPr>
          <w:rFonts w:ascii="Calibri" w:cs="Calibri" w:eastAsia="Calibri" w:hAnsi="Calibri"/>
          <w:color w:val="1F1E1D"/>
          <w:sz w:val="24"/>
          <w:szCs w:val="24"/>
        </w:rPr>
        <w:t xml:space="preserve">pyvar is an open-source (Apache-2.0-licensed) financial and risk computation platform: 385 regulatory-grade functions — Value-at-Risk, Expected Shortfall, credit risk (PD/LGD/EAD, IFRS 9 ECL), derivatives pricing, liquidity risk (LCR/NSFR), operational risk (LDA/AMA/SMA), portfolio analytics, ALM, and Basel/FRTB/MiFID II/EMIR regulatory capital — exposed as a free, auditable REST API and, as of this release, as native tools for AI coding agents via a Model Context Protocol (MCP) server and 13 Claude Code skills.</w:t>
      </w:r>
    </w:p>
    <w:p>
      <w:pPr>
        <w:spacing w:after="160" w:line="300"/>
      </w:pPr>
      <w:r>
        <w:rPr>
          <w:rFonts w:ascii="Calibri" w:cs="Calibri" w:eastAsia="Calibri" w:hAnsi="Calibri"/>
          <w:i w:val="false"/>
          <w:iCs w:val="false"/>
          <w:color w:val="1F1E1D"/>
          <w:sz w:val="21"/>
          <w:szCs w:val="21"/>
        </w:rPr>
        <w:t xml:space="preserve">This is a request for a modest, milestone-based NLnet grant to fund a specific, scoped body of work — not a request to bootstrap the project from nothing. The software exists today, is deployed, and is free to use. What this grant would fund is exactly the kind of work NLnet has historically prioritised: independent security/correctness auditing, and extending open infrastructure's reach to users a closed commercial equivalent prices out.</w:t>
      </w:r>
    </w:p>
    <w:p>
      <w:pPr>
        <w:pStyle w:val="Heading1"/>
        <w:pBdr>
          <w:bottom w:val="single" w:color="A84A2E" w:sz="8" w:space="4"/>
        </w:pBdr>
        <w:spacing w:after="200" w:before="400"/>
      </w:pPr>
      <w:r>
        <w:rPr>
          <w:rFonts w:ascii="Calibri" w:cs="Calibri" w:eastAsia="Calibri" w:hAnsi="Calibri"/>
          <w:b/>
          <w:bCs/>
          <w:color w:val="1F1E1D"/>
          <w:sz w:val="30"/>
          <w:szCs w:val="30"/>
        </w:rPr>
        <w:t xml:space="preserve">Why pyvar fits NLnet's mission</w:t>
      </w:r>
    </w:p>
    <w:p>
      <w:pPr>
        <w:spacing w:after="160" w:line="300"/>
      </w:pPr>
      <w:r>
        <w:rPr>
          <w:rFonts w:ascii="Calibri" w:cs="Calibri" w:eastAsia="Calibri" w:hAnsi="Calibri"/>
          <w:i w:val="false"/>
          <w:iCs w:val="false"/>
          <w:color w:val="1F1E1D"/>
          <w:sz w:val="21"/>
          <w:szCs w:val="21"/>
        </w:rPr>
        <w:t xml:space="preserve">NLnet's stated interest — digital commons, an open and trustworthy internet stack, technology that serves the public interest rather than a single vendor's lock-in — maps directly onto what pyvar is trying to fix in financial technology specifically:</w:t>
      </w:r>
    </w:p>
    <w:p>
      <w:pPr>
        <w:pStyle w:val="ListParagraph"/>
        <w:numPr>
          <w:ilvl w:val="0"/>
          <w:numId w:val="2"/>
        </w:numPr>
        <w:spacing w:after="100"/>
      </w:pPr>
      <w:r>
        <w:rPr>
          <w:rFonts w:ascii="Calibri" w:cs="Calibri" w:eastAsia="Calibri" w:hAnsi="Calibri"/>
          <w:color w:val="1F1E1D"/>
          <w:sz w:val="21"/>
          <w:szCs w:val="21"/>
        </w:rPr>
        <w:t xml:space="preserve">A digital commons argument: a shared, auditable, Apache-2.0-licensed implementation of published Basel/FRTB formulas is public infrastructure for the financial sector, in the same spirit as the open standards and open-source infrastructure NLnet has funded across other domains.</w:t>
      </w:r>
    </w:p>
    <w:p>
      <w:pPr>
        <w:pStyle w:val="ListParagraph"/>
        <w:numPr>
          <w:ilvl w:val="0"/>
          <w:numId w:val="2"/>
        </w:numPr>
        <w:spacing w:after="100"/>
      </w:pPr>
      <w:r>
        <w:rPr>
          <w:rFonts w:ascii="Calibri" w:cs="Calibri" w:eastAsia="Calibri" w:hAnsi="Calibri"/>
          <w:color w:val="1F1E1D"/>
          <w:sz w:val="21"/>
          <w:szCs w:val="21"/>
        </w:rPr>
        <w:t xml:space="preserve">A transparency/trust argument: the formulas behind widely-used financial risk numbers are today mostly proprietary; nobody outside the vendor can inspect exactly how a capital or VaR figure was produced. pyvar makes that inspectable by anyone — a regulator, a researcher, a rival implementation — which is the same kind of auditability NLnet-funded projects are usually chosen for.</w:t>
      </w:r>
    </w:p>
    <w:p>
      <w:pPr>
        <w:pStyle w:val="ListParagraph"/>
        <w:numPr>
          <w:ilvl w:val="0"/>
          <w:numId w:val="2"/>
        </w:numPr>
        <w:spacing w:after="100"/>
      </w:pPr>
      <w:r>
        <w:rPr>
          <w:rFonts w:ascii="Calibri" w:cs="Calibri" w:eastAsia="Calibri" w:hAnsi="Calibri"/>
          <w:color w:val="1F1E1D"/>
          <w:sz w:val="21"/>
          <w:szCs w:val="21"/>
        </w:rPr>
        <w:t xml:space="preserve">An access/inclusion argument: smaller banks, credit unions, fintech startups and researchers — particularly outside the largest financial centres — are priced out of the same risk methodology large institutions already use. Removing that cost barrier is a concrete, checkable outcome, not an abstract mission statement.</w:t>
      </w:r>
    </w:p>
    <w:p>
      <w:pPr>
        <w:pStyle w:val="ListParagraph"/>
        <w:numPr>
          <w:ilvl w:val="0"/>
          <w:numId w:val="2"/>
        </w:numPr>
        <w:spacing w:after="100"/>
      </w:pPr>
      <w:r>
        <w:rPr>
          <w:rFonts w:ascii="Calibri" w:cs="Calibri" w:eastAsia="Calibri" w:hAnsi="Calibri"/>
          <w:color w:val="1F1E1D"/>
          <w:sz w:val="21"/>
          <w:szCs w:val="21"/>
        </w:rPr>
        <w:t xml:space="preserve">A timely, forward-looking argument: pyvar now ships as native tools for AI coding agents (an MCP server + Claude Code skills, generated directly from the same source of truth as the REST API). Open, machine-readable, auditable infrastructure matters more, not less, as more of this work is done by AI agents rather than only humans — an area well aligned with NLnet's interest in the internet's next architectural layer.</w:t>
      </w:r>
    </w:p>
    <w:p>
      <w:pPr>
        <w:pStyle w:val="Heading1"/>
        <w:pBdr>
          <w:bottom w:val="single" w:color="A84A2E" w:sz="8" w:space="4"/>
        </w:pBdr>
        <w:spacing w:after="200" w:before="400"/>
      </w:pPr>
      <w:r>
        <w:rPr>
          <w:rFonts w:ascii="Calibri" w:cs="Calibri" w:eastAsia="Calibri" w:hAnsi="Calibri"/>
          <w:b/>
          <w:bCs/>
          <w:color w:val="1F1E1D"/>
          <w:sz w:val="30"/>
          <w:szCs w:val="30"/>
        </w:rPr>
        <w:t xml:space="preserve">What pyvar is</w:t>
      </w:r>
    </w:p>
    <w:p>
      <w:pPr>
        <w:pStyle w:val="Heading2"/>
        <w:spacing w:after="120" w:before="300"/>
      </w:pPr>
      <w:r>
        <w:rPr>
          <w:rFonts w:ascii="Calibri" w:cs="Calibri" w:eastAsia="Calibri" w:hAnsi="Calibri"/>
          <w:b/>
          <w:bCs/>
          <w:color w:val="7A3620"/>
          <w:sz w:val="24"/>
          <w:szCs w:val="24"/>
        </w:rPr>
        <w:t xml:space="preserve">385 functions across 8 domains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6100"/>
      </w:tblGrid>
      <w:tr>
        <w:trPr>
          <w:tblHeader/>
        </w:trPr>
        <w:tc>
          <w:tcPr>
            <w:tcW w:type="dxa" w:w="2500"/>
            <w:shd w:fill="A84A2E"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Domain</w:t>
            </w:r>
          </w:p>
        </w:tc>
        <w:tc>
          <w:tcPr>
            <w:tcW w:type="dxa" w:w="1200"/>
            <w:shd w:fill="A84A2E"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Fn count</w:t>
            </w:r>
          </w:p>
        </w:tc>
        <w:tc>
          <w:tcPr>
            <w:tcW w:type="dxa" w:w="6100"/>
            <w:shd w:fill="A84A2E"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Coverage</w:t>
            </w:r>
          </w:p>
        </w:tc>
      </w:tr>
      <w:tr>
        <w:tc>
          <w:tcPr>
            <w:tcW w:type="dxa" w:w="2500"/>
            <w:tcMar>
              <w:top w:type="dxa" w:w="100"/>
              <w:left w:type="dxa" w:w="140"/>
              <w:bottom w:type="dxa" w:w="100"/>
              <w:right w:type="dxa" w:w="140"/>
            </w:tcMar>
            <w:vAlign w:val="center"/>
          </w:tcPr>
          <w:p>
            <w:pPr>
              <w:jc w:val="left"/>
            </w:pPr>
            <w:r>
              <w:rPr>
                <w:rFonts w:ascii="Calibri" w:cs="Calibri" w:eastAsia="Calibri" w:hAnsi="Calibri"/>
                <w:b/>
                <w:bCs/>
                <w:color w:val="1F1E1D"/>
                <w:sz w:val="19"/>
                <w:szCs w:val="19"/>
              </w:rPr>
              <w:t xml:space="preserve">Market Risk</w:t>
            </w:r>
          </w:p>
        </w:tc>
        <w:tc>
          <w:tcPr>
            <w:tcW w:type="dxa" w:w="1200"/>
            <w:tcMar>
              <w:top w:type="dxa" w:w="100"/>
              <w:left w:type="dxa" w:w="140"/>
              <w:bottom w:type="dxa" w:w="100"/>
              <w:right w:type="dxa" w:w="140"/>
            </w:tcMar>
            <w:vAlign w:val="center"/>
          </w:tcPr>
          <w:p>
            <w:pPr>
              <w:jc w:val="center"/>
            </w:pPr>
            <w:r>
              <w:rPr>
                <w:rFonts w:ascii="Calibri" w:cs="Calibri" w:eastAsia="Calibri" w:hAnsi="Calibri"/>
                <w:b/>
                <w:bCs/>
                <w:color w:val="A84A2E"/>
                <w:sz w:val="19"/>
                <w:szCs w:val="19"/>
              </w:rPr>
              <w:t xml:space="preserve">68</w:t>
            </w:r>
          </w:p>
        </w:tc>
        <w:tc>
          <w:tcPr>
            <w:tcW w:type="dxa" w:w="61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Monte Carlo &amp; parametric VaR, Expected Shortfall, Greeks, stress testing, FRTB SA/IMA, backtesting</w:t>
            </w:r>
          </w:p>
        </w:tc>
      </w:tr>
      <w:tr>
        <w:tc>
          <w:tcPr>
            <w:tcW w:type="dxa" w:w="2500"/>
            <w:tcMar>
              <w:top w:type="dxa" w:w="100"/>
              <w:left w:type="dxa" w:w="140"/>
              <w:bottom w:type="dxa" w:w="100"/>
              <w:right w:type="dxa" w:w="140"/>
            </w:tcMar>
            <w:vAlign w:val="center"/>
          </w:tcPr>
          <w:p>
            <w:pPr>
              <w:jc w:val="left"/>
            </w:pPr>
            <w:r>
              <w:rPr>
                <w:rFonts w:ascii="Calibri" w:cs="Calibri" w:eastAsia="Calibri" w:hAnsi="Calibri"/>
                <w:b/>
                <w:bCs/>
                <w:color w:val="1F1E1D"/>
                <w:sz w:val="19"/>
                <w:szCs w:val="19"/>
              </w:rPr>
              <w:t xml:space="preserve">Credit Risk</w:t>
            </w:r>
          </w:p>
        </w:tc>
        <w:tc>
          <w:tcPr>
            <w:tcW w:type="dxa" w:w="1200"/>
            <w:tcMar>
              <w:top w:type="dxa" w:w="100"/>
              <w:left w:type="dxa" w:w="140"/>
              <w:bottom w:type="dxa" w:w="100"/>
              <w:right w:type="dxa" w:w="140"/>
            </w:tcMar>
            <w:vAlign w:val="center"/>
          </w:tcPr>
          <w:p>
            <w:pPr>
              <w:jc w:val="center"/>
            </w:pPr>
            <w:r>
              <w:rPr>
                <w:rFonts w:ascii="Calibri" w:cs="Calibri" w:eastAsia="Calibri" w:hAnsi="Calibri"/>
                <w:b/>
                <w:bCs/>
                <w:color w:val="A84A2E"/>
                <w:sz w:val="19"/>
                <w:szCs w:val="19"/>
              </w:rPr>
              <w:t xml:space="preserve">55</w:t>
            </w:r>
          </w:p>
        </w:tc>
        <w:tc>
          <w:tcPr>
            <w:tcW w:type="dxa" w:w="61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PD/LGD/EAD, IRB/SA capital, XVA, IFRS 9 ECL, CDS pricing, SA-CCR, credit scoring</w:t>
            </w:r>
          </w:p>
        </w:tc>
      </w:tr>
      <w:tr>
        <w:tc>
          <w:tcPr>
            <w:tcW w:type="dxa" w:w="2500"/>
            <w:tcMar>
              <w:top w:type="dxa" w:w="100"/>
              <w:left w:type="dxa" w:w="140"/>
              <w:bottom w:type="dxa" w:w="100"/>
              <w:right w:type="dxa" w:w="140"/>
            </w:tcMar>
            <w:vAlign w:val="center"/>
          </w:tcPr>
          <w:p>
            <w:pPr>
              <w:jc w:val="left"/>
            </w:pPr>
            <w:r>
              <w:rPr>
                <w:rFonts w:ascii="Calibri" w:cs="Calibri" w:eastAsia="Calibri" w:hAnsi="Calibri"/>
                <w:b/>
                <w:bCs/>
                <w:color w:val="1F1E1D"/>
                <w:sz w:val="19"/>
                <w:szCs w:val="19"/>
              </w:rPr>
              <w:t xml:space="preserve">Derivatives &amp; Pricing</w:t>
            </w:r>
          </w:p>
        </w:tc>
        <w:tc>
          <w:tcPr>
            <w:tcW w:type="dxa" w:w="1200"/>
            <w:tcMar>
              <w:top w:type="dxa" w:w="100"/>
              <w:left w:type="dxa" w:w="140"/>
              <w:bottom w:type="dxa" w:w="100"/>
              <w:right w:type="dxa" w:w="140"/>
            </w:tcMar>
            <w:vAlign w:val="center"/>
          </w:tcPr>
          <w:p>
            <w:pPr>
              <w:jc w:val="center"/>
            </w:pPr>
            <w:r>
              <w:rPr>
                <w:rFonts w:ascii="Calibri" w:cs="Calibri" w:eastAsia="Calibri" w:hAnsi="Calibri"/>
                <w:b/>
                <w:bCs/>
                <w:color w:val="A84A2E"/>
                <w:sz w:val="19"/>
                <w:szCs w:val="19"/>
              </w:rPr>
              <w:t xml:space="preserve">62</w:t>
            </w:r>
          </w:p>
        </w:tc>
        <w:tc>
          <w:tcPr>
            <w:tcW w:type="dxa" w:w="61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Black-Scholes, Heston, SABR, Dupire, LSM American/Bermudan, fixed income, IRS/CDS, FX</w:t>
            </w:r>
          </w:p>
        </w:tc>
      </w:tr>
      <w:tr>
        <w:tc>
          <w:tcPr>
            <w:tcW w:type="dxa" w:w="2500"/>
            <w:tcMar>
              <w:top w:type="dxa" w:w="100"/>
              <w:left w:type="dxa" w:w="140"/>
              <w:bottom w:type="dxa" w:w="100"/>
              <w:right w:type="dxa" w:w="140"/>
            </w:tcMar>
            <w:vAlign w:val="center"/>
          </w:tcPr>
          <w:p>
            <w:pPr>
              <w:jc w:val="left"/>
            </w:pPr>
            <w:r>
              <w:rPr>
                <w:rFonts w:ascii="Calibri" w:cs="Calibri" w:eastAsia="Calibri" w:hAnsi="Calibri"/>
                <w:b/>
                <w:bCs/>
                <w:color w:val="1F1E1D"/>
                <w:sz w:val="19"/>
                <w:szCs w:val="19"/>
              </w:rPr>
              <w:t xml:space="preserve">Liquidity Risk</w:t>
            </w:r>
          </w:p>
        </w:tc>
        <w:tc>
          <w:tcPr>
            <w:tcW w:type="dxa" w:w="1200"/>
            <w:tcMar>
              <w:top w:type="dxa" w:w="100"/>
              <w:left w:type="dxa" w:w="140"/>
              <w:bottom w:type="dxa" w:w="100"/>
              <w:right w:type="dxa" w:w="140"/>
            </w:tcMar>
            <w:vAlign w:val="center"/>
          </w:tcPr>
          <w:p>
            <w:pPr>
              <w:jc w:val="center"/>
            </w:pPr>
            <w:r>
              <w:rPr>
                <w:rFonts w:ascii="Calibri" w:cs="Calibri" w:eastAsia="Calibri" w:hAnsi="Calibri"/>
                <w:b/>
                <w:bCs/>
                <w:color w:val="A84A2E"/>
                <w:sz w:val="19"/>
                <w:szCs w:val="19"/>
              </w:rPr>
              <w:t xml:space="preserve">40</w:t>
            </w:r>
          </w:p>
        </w:tc>
        <w:tc>
          <w:tcPr>
            <w:tcW w:type="dxa" w:w="61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LCR, NSFR, HQLA, cash-flow ladders, ILAAP, intraday liquidity, LiqVaR</w:t>
            </w:r>
          </w:p>
        </w:tc>
      </w:tr>
      <w:tr>
        <w:tc>
          <w:tcPr>
            <w:tcW w:type="dxa" w:w="2500"/>
            <w:tcMar>
              <w:top w:type="dxa" w:w="100"/>
              <w:left w:type="dxa" w:w="140"/>
              <w:bottom w:type="dxa" w:w="100"/>
              <w:right w:type="dxa" w:w="140"/>
            </w:tcMar>
            <w:vAlign w:val="center"/>
          </w:tcPr>
          <w:p>
            <w:pPr>
              <w:jc w:val="left"/>
            </w:pPr>
            <w:r>
              <w:rPr>
                <w:rFonts w:ascii="Calibri" w:cs="Calibri" w:eastAsia="Calibri" w:hAnsi="Calibri"/>
                <w:b/>
                <w:bCs/>
                <w:color w:val="1F1E1D"/>
                <w:sz w:val="19"/>
                <w:szCs w:val="19"/>
              </w:rPr>
              <w:t xml:space="preserve">Operational Risk</w:t>
            </w:r>
          </w:p>
        </w:tc>
        <w:tc>
          <w:tcPr>
            <w:tcW w:type="dxa" w:w="1200"/>
            <w:tcMar>
              <w:top w:type="dxa" w:w="100"/>
              <w:left w:type="dxa" w:w="140"/>
              <w:bottom w:type="dxa" w:w="100"/>
              <w:right w:type="dxa" w:w="140"/>
            </w:tcMar>
            <w:vAlign w:val="center"/>
          </w:tcPr>
          <w:p>
            <w:pPr>
              <w:jc w:val="center"/>
            </w:pPr>
            <w:r>
              <w:rPr>
                <w:rFonts w:ascii="Calibri" w:cs="Calibri" w:eastAsia="Calibri" w:hAnsi="Calibri"/>
                <w:b/>
                <w:bCs/>
                <w:color w:val="A84A2E"/>
                <w:sz w:val="19"/>
                <w:szCs w:val="19"/>
              </w:rPr>
              <w:t xml:space="preserve">44</w:t>
            </w:r>
          </w:p>
        </w:tc>
        <w:tc>
          <w:tcPr>
            <w:tcW w:type="dxa" w:w="61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LDA, AMA, SMA capital, RCSA, KRI monitoring, scenario analysis, BEICF</w:t>
            </w:r>
          </w:p>
        </w:tc>
      </w:tr>
      <w:tr>
        <w:tc>
          <w:tcPr>
            <w:tcW w:type="dxa" w:w="2500"/>
            <w:tcMar>
              <w:top w:type="dxa" w:w="100"/>
              <w:left w:type="dxa" w:w="140"/>
              <w:bottom w:type="dxa" w:w="100"/>
              <w:right w:type="dxa" w:w="140"/>
            </w:tcMar>
            <w:vAlign w:val="center"/>
          </w:tcPr>
          <w:p>
            <w:pPr>
              <w:jc w:val="left"/>
            </w:pPr>
            <w:r>
              <w:rPr>
                <w:rFonts w:ascii="Calibri" w:cs="Calibri" w:eastAsia="Calibri" w:hAnsi="Calibri"/>
                <w:b/>
                <w:bCs/>
                <w:color w:val="1F1E1D"/>
                <w:sz w:val="19"/>
                <w:szCs w:val="19"/>
              </w:rPr>
              <w:t xml:space="preserve">Portfolio Analytics</w:t>
            </w:r>
          </w:p>
        </w:tc>
        <w:tc>
          <w:tcPr>
            <w:tcW w:type="dxa" w:w="1200"/>
            <w:tcMar>
              <w:top w:type="dxa" w:w="100"/>
              <w:left w:type="dxa" w:w="140"/>
              <w:bottom w:type="dxa" w:w="100"/>
              <w:right w:type="dxa" w:w="140"/>
            </w:tcMar>
            <w:vAlign w:val="center"/>
          </w:tcPr>
          <w:p>
            <w:pPr>
              <w:jc w:val="center"/>
            </w:pPr>
            <w:r>
              <w:rPr>
                <w:rFonts w:ascii="Calibri" w:cs="Calibri" w:eastAsia="Calibri" w:hAnsi="Calibri"/>
                <w:b/>
                <w:bCs/>
                <w:color w:val="A84A2E"/>
                <w:sz w:val="19"/>
                <w:szCs w:val="19"/>
              </w:rPr>
              <w:t xml:space="preserve">50</w:t>
            </w:r>
          </w:p>
        </w:tc>
        <w:tc>
          <w:tcPr>
            <w:tcW w:type="dxa" w:w="61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Markowitz/Black-Litterman/risk-parity, Sharpe/Sortino, factor models, PCA, ESG</w:t>
            </w:r>
          </w:p>
        </w:tc>
      </w:tr>
      <w:tr>
        <w:tc>
          <w:tcPr>
            <w:tcW w:type="dxa" w:w="2500"/>
            <w:tcMar>
              <w:top w:type="dxa" w:w="100"/>
              <w:left w:type="dxa" w:w="140"/>
              <w:bottom w:type="dxa" w:w="100"/>
              <w:right w:type="dxa" w:w="140"/>
            </w:tcMar>
            <w:vAlign w:val="center"/>
          </w:tcPr>
          <w:p>
            <w:pPr>
              <w:jc w:val="left"/>
            </w:pPr>
            <w:r>
              <w:rPr>
                <w:rFonts w:ascii="Calibri" w:cs="Calibri" w:eastAsia="Calibri" w:hAnsi="Calibri"/>
                <w:b/>
                <w:bCs/>
                <w:color w:val="1F1E1D"/>
                <w:sz w:val="19"/>
                <w:szCs w:val="19"/>
              </w:rPr>
              <w:t xml:space="preserve">Regulatory &amp; Compliance</w:t>
            </w:r>
          </w:p>
        </w:tc>
        <w:tc>
          <w:tcPr>
            <w:tcW w:type="dxa" w:w="1200"/>
            <w:tcMar>
              <w:top w:type="dxa" w:w="100"/>
              <w:left w:type="dxa" w:w="140"/>
              <w:bottom w:type="dxa" w:w="100"/>
              <w:right w:type="dxa" w:w="140"/>
            </w:tcMar>
            <w:vAlign w:val="center"/>
          </w:tcPr>
          <w:p>
            <w:pPr>
              <w:jc w:val="center"/>
            </w:pPr>
            <w:r>
              <w:rPr>
                <w:rFonts w:ascii="Calibri" w:cs="Calibri" w:eastAsia="Calibri" w:hAnsi="Calibri"/>
                <w:b/>
                <w:bCs/>
                <w:color w:val="A84A2E"/>
                <w:sz w:val="19"/>
                <w:szCs w:val="19"/>
              </w:rPr>
              <w:t xml:space="preserve">30</w:t>
            </w:r>
          </w:p>
        </w:tc>
        <w:tc>
          <w:tcPr>
            <w:tcW w:type="dxa" w:w="61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Basel III/IV, FRTB, ICAAP/SREP, MiFID II, EMIR, Solvency II, CRR2</w:t>
            </w:r>
          </w:p>
        </w:tc>
      </w:tr>
      <w:tr>
        <w:tc>
          <w:tcPr>
            <w:tcW w:type="dxa" w:w="2500"/>
            <w:tcMar>
              <w:top w:type="dxa" w:w="100"/>
              <w:left w:type="dxa" w:w="140"/>
              <w:bottom w:type="dxa" w:w="100"/>
              <w:right w:type="dxa" w:w="140"/>
            </w:tcMar>
            <w:vAlign w:val="center"/>
          </w:tcPr>
          <w:p>
            <w:pPr>
              <w:jc w:val="left"/>
            </w:pPr>
            <w:r>
              <w:rPr>
                <w:rFonts w:ascii="Calibri" w:cs="Calibri" w:eastAsia="Calibri" w:hAnsi="Calibri"/>
                <w:b/>
                <w:bCs/>
                <w:color w:val="1F1E1D"/>
                <w:sz w:val="19"/>
                <w:szCs w:val="19"/>
              </w:rPr>
              <w:t xml:space="preserve">ALM &amp; Balance Sheet</w:t>
            </w:r>
          </w:p>
        </w:tc>
        <w:tc>
          <w:tcPr>
            <w:tcW w:type="dxa" w:w="1200"/>
            <w:tcMar>
              <w:top w:type="dxa" w:w="100"/>
              <w:left w:type="dxa" w:w="140"/>
              <w:bottom w:type="dxa" w:w="100"/>
              <w:right w:type="dxa" w:w="140"/>
            </w:tcMar>
            <w:vAlign w:val="center"/>
          </w:tcPr>
          <w:p>
            <w:pPr>
              <w:jc w:val="center"/>
            </w:pPr>
            <w:r>
              <w:rPr>
                <w:rFonts w:ascii="Calibri" w:cs="Calibri" w:eastAsia="Calibri" w:hAnsi="Calibri"/>
                <w:b/>
                <w:bCs/>
                <w:color w:val="A84A2E"/>
                <w:sz w:val="19"/>
                <w:szCs w:val="19"/>
              </w:rPr>
              <w:t xml:space="preserve">33</w:t>
            </w:r>
          </w:p>
        </w:tc>
        <w:tc>
          <w:tcPr>
            <w:tcW w:type="dxa" w:w="61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8"/>
                <w:szCs w:val="18"/>
              </w:rPr>
              <w:t xml:space="preserve">Duration gap, NII/EVE, IRRBB six standard shocks, repricing gap, NMD models, FTP</w:t>
            </w:r>
          </w:p>
        </w:tc>
      </w:tr>
    </w:tbl>
    <w:p>
      <w:pPr>
        <w:pStyle w:val="Heading2"/>
        <w:spacing w:after="120" w:before="300"/>
      </w:pPr>
      <w:r>
        <w:rPr>
          <w:rFonts w:ascii="Calibri" w:cs="Calibri" w:eastAsia="Calibri" w:hAnsi="Calibri"/>
          <w:b/>
          <w:bCs/>
          <w:color w:val="7A3620"/>
          <w:sz w:val="24"/>
          <w:szCs w:val="24"/>
        </w:rPr>
        <w:t xml:space="preserve">Built to be inspected, not just used</w:t>
      </w:r>
    </w:p>
    <w:p>
      <w:pPr>
        <w:pStyle w:val="ListParagraph"/>
        <w:numPr>
          <w:ilvl w:val="0"/>
          <w:numId w:val="2"/>
        </w:numPr>
        <w:spacing w:after="100"/>
      </w:pPr>
      <w:r>
        <w:rPr>
          <w:rFonts w:ascii="Calibri" w:cs="Calibri" w:eastAsia="Calibri" w:hAnsi="Calibri"/>
          <w:color w:val="1F1E1D"/>
          <w:sz w:val="21"/>
          <w:szCs w:val="21"/>
        </w:rPr>
        <w:t xml:space="preserve">Deterministic and reproducible: identical seed → identical result, always.</w:t>
      </w:r>
    </w:p>
    <w:p>
      <w:pPr>
        <w:pStyle w:val="ListParagraph"/>
        <w:numPr>
          <w:ilvl w:val="0"/>
          <w:numId w:val="2"/>
        </w:numPr>
        <w:spacing w:after="100"/>
      </w:pPr>
      <w:r>
        <w:rPr>
          <w:rFonts w:ascii="Calibri" w:cs="Calibri" w:eastAsia="Calibri" w:hAnsi="Calibri"/>
          <w:color w:val="1F1E1D"/>
          <w:sz w:val="21"/>
          <w:szCs w:val="21"/>
        </w:rPr>
        <w:t xml:space="preserve">Automated numerical-property test suite on every change: VaR always positive, CVaR always ≥ VaR, 99% VaR always &gt; 95% VaR, absolute VaR scales linearly with portfolio value.</w:t>
      </w:r>
    </w:p>
    <w:p>
      <w:pPr>
        <w:pStyle w:val="ListParagraph"/>
        <w:numPr>
          <w:ilvl w:val="0"/>
          <w:numId w:val="2"/>
        </w:numPr>
        <w:spacing w:after="100"/>
      </w:pPr>
      <w:r>
        <w:rPr>
          <w:rFonts w:ascii="Calibri" w:cs="Calibri" w:eastAsia="Calibri" w:hAnsi="Calibri"/>
          <w:color w:val="1F1E1D"/>
          <w:sz w:val="21"/>
          <w:szCs w:val="21"/>
        </w:rPr>
        <w:t xml:space="preserve">Basel traffic-light backtesting implements the Basel Committee's exact thresholds (250 trading days, green/yellow/red breach zones, 3.0–4.0 capital multiplier) — not an approximation.</w:t>
      </w:r>
    </w:p>
    <w:p>
      <w:pPr>
        <w:pStyle w:val="ListParagraph"/>
        <w:numPr>
          <w:ilvl w:val="0"/>
          <w:numId w:val="2"/>
        </w:numPr>
        <w:spacing w:after="100"/>
      </w:pPr>
      <w:r>
        <w:rPr>
          <w:rFonts w:ascii="Calibri" w:cs="Calibri" w:eastAsia="Calibri" w:hAnsi="Calibri"/>
          <w:color w:val="1F1E1D"/>
          <w:sz w:val="21"/>
          <w:szCs w:val="21"/>
        </w:rPr>
        <w:t xml:space="preserve">Every formula, every line, is public on GitHub under the Apache-2.0 licence — a regulator, an academic, or a rival implementation can read the actual code, not just trust a vendor's claim about it.</w:t>
      </w:r>
    </w:p>
    <w:p>
      <w:pPr>
        <w:pStyle w:val="Heading1"/>
        <w:pBdr>
          <w:bottom w:val="single" w:color="A84A2E" w:sz="8" w:space="4"/>
        </w:pBdr>
        <w:spacing w:after="200" w:before="400"/>
      </w:pPr>
      <w:r>
        <w:rPr>
          <w:rFonts w:ascii="Calibri" w:cs="Calibri" w:eastAsia="Calibri" w:hAnsi="Calibri"/>
          <w:b/>
          <w:bCs/>
          <w:color w:val="1F1E1D"/>
          <w:sz w:val="30"/>
          <w:szCs w:val="30"/>
        </w:rPr>
        <w:t xml:space="preserve">Milestone-based work plan and budget (EUR, indicative)</w:t>
      </w:r>
    </w:p>
    <w:p>
      <w:pPr>
        <w:spacing w:after="160" w:line="300"/>
      </w:pPr>
      <w:r>
        <w:rPr>
          <w:rFonts w:ascii="Calibri" w:cs="Calibri" w:eastAsia="Calibri" w:hAnsi="Calibri"/>
          <w:i w:val="false"/>
          <w:iCs w:val="false"/>
          <w:color w:val="1F1E1D"/>
          <w:sz w:val="21"/>
          <w:szCs w:val="21"/>
        </w:rPr>
        <w:t xml:space="preserve">Structured as discrete, independently deliverable milestones, matching NLnet's own milestone-based disbursement approach — each milestone stands alone and is separately verifiable, so funding can track delivered work rather than a lump sum against a vague roadmap.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5300"/>
        <w:gridCol w:w="1500"/>
      </w:tblGrid>
      <w:tr>
        <w:trPr>
          <w:tblHeader/>
        </w:trPr>
        <w:tc>
          <w:tcPr>
            <w:tcW w:type="dxa" w:w="700"/>
            <w:shd w:fill="A84A2E"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w:t>
            </w:r>
          </w:p>
        </w:tc>
        <w:tc>
          <w:tcPr>
            <w:tcW w:type="dxa" w:w="2300"/>
            <w:shd w:fill="A84A2E"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Milestone</w:t>
            </w:r>
          </w:p>
        </w:tc>
        <w:tc>
          <w:tcPr>
            <w:tcW w:type="dxa" w:w="5300"/>
            <w:shd w:fill="A84A2E"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Deliverable</w:t>
            </w:r>
          </w:p>
        </w:tc>
        <w:tc>
          <w:tcPr>
            <w:tcW w:type="dxa" w:w="1500"/>
            <w:shd w:fill="A84A2E" w:val="clear"/>
            <w:tcMar>
              <w:top w:type="dxa" w:w="100"/>
              <w:left w:type="dxa" w:w="140"/>
              <w:bottom w:type="dxa" w:w="100"/>
              <w:right w:type="dxa" w:w="140"/>
            </w:tcMar>
            <w:vAlign w:val="center"/>
          </w:tcPr>
          <w:p>
            <w:pPr>
              <w:jc w:val="left"/>
            </w:pPr>
            <w:r>
              <w:rPr>
                <w:rFonts w:ascii="Calibri" w:cs="Calibri" w:eastAsia="Calibri" w:hAnsi="Calibri"/>
                <w:b/>
                <w:bCs/>
                <w:color w:val="FFFFFF"/>
                <w:sz w:val="18"/>
                <w:szCs w:val="18"/>
              </w:rPr>
              <w:t xml:space="preserve">Indicative</w:t>
            </w:r>
          </w:p>
        </w:tc>
      </w:tr>
      <w:tr>
        <w:tc>
          <w:tcPr>
            <w:tcW w:type="dxa" w:w="700"/>
            <w:tcMar>
              <w:top w:type="dxa" w:w="100"/>
              <w:left w:type="dxa" w:w="140"/>
              <w:bottom w:type="dxa" w:w="100"/>
              <w:right w:type="dxa" w:w="140"/>
            </w:tcMar>
            <w:vAlign w:val="center"/>
          </w:tcPr>
          <w:p>
            <w:pPr>
              <w:jc w:val="center"/>
            </w:pPr>
            <w:r>
              <w:rPr>
                <w:rFonts w:ascii="Calibri" w:cs="Calibri" w:eastAsia="Calibri" w:hAnsi="Calibri"/>
                <w:b/>
                <w:bCs/>
                <w:color w:val="1F1E1D"/>
                <w:sz w:val="19"/>
                <w:szCs w:val="19"/>
              </w:rPr>
              <w:t xml:space="preserve">M1</w:t>
            </w:r>
          </w:p>
        </w:tc>
        <w:tc>
          <w:tcPr>
            <w:tcW w:type="dxa" w:w="2300"/>
            <w:tcMar>
              <w:top w:type="dxa" w:w="100"/>
              <w:left w:type="dxa" w:w="140"/>
              <w:bottom w:type="dxa" w:w="100"/>
              <w:right w:type="dxa" w:w="140"/>
            </w:tcMar>
            <w:vAlign w:val="center"/>
          </w:tcPr>
          <w:p>
            <w:pPr>
              <w:jc w:val="left"/>
            </w:pPr>
            <w:r>
              <w:rPr>
                <w:rFonts w:ascii="Calibri" w:cs="Calibri" w:eastAsia="Calibri" w:hAnsi="Calibri"/>
                <w:b/>
                <w:bCs/>
                <w:color w:val="1F1E1D"/>
                <w:sz w:val="18"/>
                <w:szCs w:val="18"/>
              </w:rPr>
              <w:t xml:space="preserve">Independent security review</w:t>
            </w:r>
          </w:p>
        </w:tc>
        <w:tc>
          <w:tcPr>
            <w:tcW w:type="dxa" w:w="53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7"/>
                <w:szCs w:val="17"/>
              </w:rPr>
              <w:t xml:space="preserve">A third-party security review of the API surface and dependency chain, findings published openly.</w:t>
            </w:r>
          </w:p>
        </w:tc>
        <w:tc>
          <w:tcPr>
            <w:tcW w:type="dxa" w:w="1500"/>
            <w:tcMar>
              <w:top w:type="dxa" w:w="100"/>
              <w:left w:type="dxa" w:w="140"/>
              <w:bottom w:type="dxa" w:w="100"/>
              <w:right w:type="dxa" w:w="140"/>
            </w:tcMar>
            <w:vAlign w:val="center"/>
          </w:tcPr>
          <w:p>
            <w:pPr>
              <w:jc w:val="center"/>
            </w:pPr>
            <w:r>
              <w:rPr>
                <w:rFonts w:ascii="Calibri" w:cs="Calibri" w:eastAsia="Calibri" w:hAnsi="Calibri"/>
                <w:b/>
                <w:bCs/>
                <w:color w:val="A84A2E"/>
                <w:sz w:val="18"/>
                <w:szCs w:val="18"/>
              </w:rPr>
              <w:t xml:space="preserve">€8,000–12,000</w:t>
            </w:r>
          </w:p>
        </w:tc>
      </w:tr>
      <w:tr>
        <w:tc>
          <w:tcPr>
            <w:tcW w:type="dxa" w:w="700"/>
            <w:tcMar>
              <w:top w:type="dxa" w:w="100"/>
              <w:left w:type="dxa" w:w="140"/>
              <w:bottom w:type="dxa" w:w="100"/>
              <w:right w:type="dxa" w:w="140"/>
            </w:tcMar>
            <w:vAlign w:val="center"/>
          </w:tcPr>
          <w:p>
            <w:pPr>
              <w:jc w:val="center"/>
            </w:pPr>
            <w:r>
              <w:rPr>
                <w:rFonts w:ascii="Calibri" w:cs="Calibri" w:eastAsia="Calibri" w:hAnsi="Calibri"/>
                <w:b/>
                <w:bCs/>
                <w:color w:val="1F1E1D"/>
                <w:sz w:val="19"/>
                <w:szCs w:val="19"/>
              </w:rPr>
              <w:t xml:space="preserve">M2</w:t>
            </w:r>
          </w:p>
        </w:tc>
        <w:tc>
          <w:tcPr>
            <w:tcW w:type="dxa" w:w="2300"/>
            <w:tcMar>
              <w:top w:type="dxa" w:w="100"/>
              <w:left w:type="dxa" w:w="140"/>
              <w:bottom w:type="dxa" w:w="100"/>
              <w:right w:type="dxa" w:w="140"/>
            </w:tcMar>
            <w:vAlign w:val="center"/>
          </w:tcPr>
          <w:p>
            <w:pPr>
              <w:jc w:val="left"/>
            </w:pPr>
            <w:r>
              <w:rPr>
                <w:rFonts w:ascii="Calibri" w:cs="Calibri" w:eastAsia="Calibri" w:hAnsi="Calibri"/>
                <w:b/>
                <w:bCs/>
                <w:color w:val="1F1E1D"/>
                <w:sz w:val="18"/>
                <w:szCs w:val="18"/>
              </w:rPr>
              <w:t xml:space="preserve">Independent numerical/regulatory-formula audit</w:t>
            </w:r>
          </w:p>
        </w:tc>
        <w:tc>
          <w:tcPr>
            <w:tcW w:type="dxa" w:w="53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7"/>
                <w:szCs w:val="17"/>
              </w:rPr>
              <w:t xml:space="preserve">A domain expert reviews a sample of the 385 functions against their published Basel/FRTB/IFRS 9 source formulas, with findings and any corrections published openly — the credibility layer open financial infrastructure specifically needs.</w:t>
            </w:r>
          </w:p>
        </w:tc>
        <w:tc>
          <w:tcPr>
            <w:tcW w:type="dxa" w:w="1500"/>
            <w:tcMar>
              <w:top w:type="dxa" w:w="100"/>
              <w:left w:type="dxa" w:w="140"/>
              <w:bottom w:type="dxa" w:w="100"/>
              <w:right w:type="dxa" w:w="140"/>
            </w:tcMar>
            <w:vAlign w:val="center"/>
          </w:tcPr>
          <w:p>
            <w:pPr>
              <w:jc w:val="center"/>
            </w:pPr>
            <w:r>
              <w:rPr>
                <w:rFonts w:ascii="Calibri" w:cs="Calibri" w:eastAsia="Calibri" w:hAnsi="Calibri"/>
                <w:b/>
                <w:bCs/>
                <w:color w:val="A84A2E"/>
                <w:sz w:val="18"/>
                <w:szCs w:val="18"/>
              </w:rPr>
              <w:t xml:space="preserve">€10,000–15,000</w:t>
            </w:r>
          </w:p>
        </w:tc>
      </w:tr>
      <w:tr>
        <w:tc>
          <w:tcPr>
            <w:tcW w:type="dxa" w:w="700"/>
            <w:tcMar>
              <w:top w:type="dxa" w:w="100"/>
              <w:left w:type="dxa" w:w="140"/>
              <w:bottom w:type="dxa" w:w="100"/>
              <w:right w:type="dxa" w:w="140"/>
            </w:tcMar>
            <w:vAlign w:val="center"/>
          </w:tcPr>
          <w:p>
            <w:pPr>
              <w:jc w:val="center"/>
            </w:pPr>
            <w:r>
              <w:rPr>
                <w:rFonts w:ascii="Calibri" w:cs="Calibri" w:eastAsia="Calibri" w:hAnsi="Calibri"/>
                <w:b/>
                <w:bCs/>
                <w:color w:val="1F1E1D"/>
                <w:sz w:val="19"/>
                <w:szCs w:val="19"/>
              </w:rPr>
              <w:t xml:space="preserve">M3</w:t>
            </w:r>
          </w:p>
        </w:tc>
        <w:tc>
          <w:tcPr>
            <w:tcW w:type="dxa" w:w="2300"/>
            <w:tcMar>
              <w:top w:type="dxa" w:w="100"/>
              <w:left w:type="dxa" w:w="140"/>
              <w:bottom w:type="dxa" w:w="100"/>
              <w:right w:type="dxa" w:w="140"/>
            </w:tcMar>
            <w:vAlign w:val="center"/>
          </w:tcPr>
          <w:p>
            <w:pPr>
              <w:jc w:val="left"/>
            </w:pPr>
            <w:r>
              <w:rPr>
                <w:rFonts w:ascii="Calibri" w:cs="Calibri" w:eastAsia="Calibri" w:hAnsi="Calibri"/>
                <w:b/>
                <w:bCs/>
                <w:color w:val="1F1E1D"/>
                <w:sz w:val="18"/>
                <w:szCs w:val="18"/>
              </w:rPr>
              <w:t xml:space="preserve">Regulatory coverage extension</w:t>
            </w:r>
          </w:p>
        </w:tc>
        <w:tc>
          <w:tcPr>
            <w:tcW w:type="dxa" w:w="53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7"/>
                <w:szCs w:val="17"/>
              </w:rPr>
              <w:t xml:space="preserve">Depth beyond the current Basel/FRTB/MiFID II/EMIR/IFRS 9 set — e.g. fuller Solvency II or CRR3 coverage — scoped once M1/M2 findings are in.</w:t>
            </w:r>
          </w:p>
        </w:tc>
        <w:tc>
          <w:tcPr>
            <w:tcW w:type="dxa" w:w="1500"/>
            <w:tcMar>
              <w:top w:type="dxa" w:w="100"/>
              <w:left w:type="dxa" w:w="140"/>
              <w:bottom w:type="dxa" w:w="100"/>
              <w:right w:type="dxa" w:w="140"/>
            </w:tcMar>
            <w:vAlign w:val="center"/>
          </w:tcPr>
          <w:p>
            <w:pPr>
              <w:jc w:val="center"/>
            </w:pPr>
            <w:r>
              <w:rPr>
                <w:rFonts w:ascii="Calibri" w:cs="Calibri" w:eastAsia="Calibri" w:hAnsi="Calibri"/>
                <w:b/>
                <w:bCs/>
                <w:color w:val="A84A2E"/>
                <w:sz w:val="18"/>
                <w:szCs w:val="18"/>
              </w:rPr>
              <w:t xml:space="preserve">€10,000–15,000</w:t>
            </w:r>
          </w:p>
        </w:tc>
      </w:tr>
      <w:tr>
        <w:tc>
          <w:tcPr>
            <w:tcW w:type="dxa" w:w="700"/>
            <w:tcMar>
              <w:top w:type="dxa" w:w="100"/>
              <w:left w:type="dxa" w:w="140"/>
              <w:bottom w:type="dxa" w:w="100"/>
              <w:right w:type="dxa" w:w="140"/>
            </w:tcMar>
            <w:vAlign w:val="center"/>
          </w:tcPr>
          <w:p>
            <w:pPr>
              <w:jc w:val="center"/>
            </w:pPr>
            <w:r>
              <w:rPr>
                <w:rFonts w:ascii="Calibri" w:cs="Calibri" w:eastAsia="Calibri" w:hAnsi="Calibri"/>
                <w:b/>
                <w:bCs/>
                <w:color w:val="1F1E1D"/>
                <w:sz w:val="19"/>
                <w:szCs w:val="19"/>
              </w:rPr>
              <w:t xml:space="preserve">M4</w:t>
            </w:r>
          </w:p>
        </w:tc>
        <w:tc>
          <w:tcPr>
            <w:tcW w:type="dxa" w:w="2300"/>
            <w:tcMar>
              <w:top w:type="dxa" w:w="100"/>
              <w:left w:type="dxa" w:w="140"/>
              <w:bottom w:type="dxa" w:w="100"/>
              <w:right w:type="dxa" w:w="140"/>
            </w:tcMar>
            <w:vAlign w:val="center"/>
          </w:tcPr>
          <w:p>
            <w:pPr>
              <w:jc w:val="left"/>
            </w:pPr>
            <w:r>
              <w:rPr>
                <w:rFonts w:ascii="Calibri" w:cs="Calibri" w:eastAsia="Calibri" w:hAnsi="Calibri"/>
                <w:b/>
                <w:bCs/>
                <w:color w:val="1F1E1D"/>
                <w:sz w:val="18"/>
                <w:szCs w:val="18"/>
              </w:rPr>
              <w:t xml:space="preserve">Documentation &amp; accessibility for smaller institutions</w:t>
            </w:r>
          </w:p>
        </w:tc>
        <w:tc>
          <w:tcPr>
            <w:tcW w:type="dxa" w:w="5300"/>
            <w:tcMar>
              <w:top w:type="dxa" w:w="100"/>
              <w:left w:type="dxa" w:w="140"/>
              <w:bottom w:type="dxa" w:w="100"/>
              <w:right w:type="dxa" w:w="140"/>
            </w:tcMar>
            <w:vAlign w:val="center"/>
          </w:tcPr>
          <w:p>
            <w:pPr>
              <w:jc w:val="left"/>
            </w:pPr>
            <w:r>
              <w:rPr>
                <w:rFonts w:ascii="Calibri" w:cs="Calibri" w:eastAsia="Calibri" w:hAnsi="Calibri"/>
                <w:b w:val="false"/>
                <w:bCs w:val="false"/>
                <w:color w:val="1F1E1D"/>
                <w:sz w:val="17"/>
                <w:szCs w:val="17"/>
              </w:rPr>
              <w:t xml:space="preserve">Expanded reference docs and tutorials aimed specifically at the smaller banks, credit unions and researchers this project's access argument is about — not just API-reference-for-experts documentation.</w:t>
            </w:r>
          </w:p>
        </w:tc>
        <w:tc>
          <w:tcPr>
            <w:tcW w:type="dxa" w:w="1500"/>
            <w:tcMar>
              <w:top w:type="dxa" w:w="100"/>
              <w:left w:type="dxa" w:w="140"/>
              <w:bottom w:type="dxa" w:w="100"/>
              <w:right w:type="dxa" w:w="140"/>
            </w:tcMar>
            <w:vAlign w:val="center"/>
          </w:tcPr>
          <w:p>
            <w:pPr>
              <w:jc w:val="center"/>
            </w:pPr>
            <w:r>
              <w:rPr>
                <w:rFonts w:ascii="Calibri" w:cs="Calibri" w:eastAsia="Calibri" w:hAnsi="Calibri"/>
                <w:b/>
                <w:bCs/>
                <w:color w:val="A84A2E"/>
                <w:sz w:val="18"/>
                <w:szCs w:val="18"/>
              </w:rPr>
              <w:t xml:space="preserve">€5,000–8,000</w:t>
            </w:r>
          </w:p>
        </w:tc>
      </w:tr>
    </w:tbl>
    <w:p>
      <w:pPr>
        <w:pBdr>
          <w:left w:val="single" w:color="4C6B7A" w:sz="16" w:space="6"/>
        </w:pBdr>
        <w:shd w:fill="F3F1EA" w:val="clear"/>
        <w:spacing w:after="240" w:before="80" w:line="280"/>
        <w:ind w:left="200"/>
      </w:pPr>
      <w:r>
        <w:rPr>
          <w:rFonts w:ascii="Calibri" w:cs="Calibri" w:eastAsia="Calibri" w:hAnsi="Calibri"/>
          <w:i/>
          <w:iCs/>
          <w:color w:val="6B6862"/>
          <w:sz w:val="19"/>
          <w:szCs w:val="19"/>
        </w:rPr>
        <w:t xml:space="preserve">Total indicative ask: roughly €33,000–50,000, deliberately sized to fit within NLnet's first-proposal ceiling (confirmed at up to €50,000 for a first proposal, up to €150,000 for a subsequent one, €500,000 lifetime cap per applicant). Figures are indicative and will be finalised against Restack's own application template (see the note at the top of this document).</w:t>
      </w:r>
    </w:p>
    <w:p>
      <w:pPr>
        <w:pStyle w:val="Heading1"/>
        <w:pBdr>
          <w:bottom w:val="single" w:color="A84A2E" w:sz="8" w:space="4"/>
        </w:pBdr>
        <w:spacing w:after="200" w:before="400"/>
      </w:pPr>
      <w:r>
        <w:rPr>
          <w:rFonts w:ascii="Calibri" w:cs="Calibri" w:eastAsia="Calibri" w:hAnsi="Calibri"/>
          <w:b/>
          <w:bCs/>
          <w:color w:val="1F1E1D"/>
          <w:sz w:val="30"/>
          <w:szCs w:val="30"/>
        </w:rPr>
        <w:t xml:space="preserve">Eligibility and track record</w:t>
      </w:r>
    </w:p>
    <w:p>
      <w:pPr>
        <w:pStyle w:val="ListParagraph"/>
        <w:numPr>
          <w:ilvl w:val="0"/>
          <w:numId w:val="2"/>
        </w:numPr>
        <w:spacing w:after="100"/>
      </w:pPr>
      <w:r>
        <w:rPr>
          <w:rFonts w:ascii="Calibri" w:cs="Calibri" w:eastAsia="Calibri" w:hAnsi="Calibri"/>
          <w:color w:val="1F1E1D"/>
          <w:sz w:val="21"/>
          <w:szCs w:val="21"/>
        </w:rPr>
        <w:t xml:space="preserve">Fibtec Limited is a UK-registered company — confirmed not disqualifying for NLnet funding (UK entities remain eligible post-Brexit).</w:t>
      </w:r>
    </w:p>
    <w:p>
      <w:pPr>
        <w:pStyle w:val="ListParagraph"/>
        <w:numPr>
          <w:ilvl w:val="0"/>
          <w:numId w:val="2"/>
        </w:numPr>
        <w:spacing w:after="100"/>
      </w:pPr>
      <w:r>
        <w:rPr>
          <w:rFonts w:ascii="Calibri" w:cs="Calibri" w:eastAsia="Calibri" w:hAnsi="Calibri"/>
          <w:color w:val="1F1E1D"/>
          <w:sz w:val="21"/>
          <w:szCs w:val="21"/>
        </w:rPr>
        <w:t xml:space="preserve">All project outputs are already Apache-2.0-licensed and public — satisfies NLnet's open-source/free-libre requirement for funded outputs by construction, not as a condition to be met later.</w:t>
      </w:r>
    </w:p>
    <w:p>
      <w:pPr>
        <w:pStyle w:val="ListParagraph"/>
        <w:numPr>
          <w:ilvl w:val="0"/>
          <w:numId w:val="2"/>
        </w:numPr>
        <w:spacing w:after="100"/>
      </w:pPr>
      <w:r>
        <w:rPr>
          <w:rFonts w:ascii="Calibri" w:cs="Calibri" w:eastAsia="Calibri" w:hAnsi="Calibri"/>
          <w:color w:val="1F1E1D"/>
          <w:sz w:val="21"/>
          <w:szCs w:val="21"/>
        </w:rPr>
        <w:t xml:space="preserve">This would be Fibtec's first NLnet application — the milestone budget above is deliberately kept within NLnet's stated first-proposal ceiling rather than assuming eligibility for a larger subsequent-proposal amount.</w:t>
      </w:r>
    </w:p>
    <w:p>
      <w:pPr>
        <w:pStyle w:val="Heading1"/>
        <w:pBdr>
          <w:bottom w:val="single" w:color="A84A2E" w:sz="8" w:space="4"/>
        </w:pBdr>
        <w:spacing w:after="200" w:before="400"/>
      </w:pPr>
      <w:r>
        <w:rPr>
          <w:rFonts w:ascii="Calibri" w:cs="Calibri" w:eastAsia="Calibri" w:hAnsi="Calibri"/>
          <w:b/>
          <w:bCs/>
          <w:color w:val="1F1E1D"/>
          <w:sz w:val="30"/>
          <w:szCs w:val="30"/>
        </w:rPr>
        <w:t xml:space="preserve">Organisation</w:t>
      </w:r>
    </w:p>
    <w:p>
      <w:pPr>
        <w:spacing w:after="160" w:line="300"/>
      </w:pPr>
      <w:r>
        <w:rPr>
          <w:rFonts w:ascii="Calibri" w:cs="Calibri" w:eastAsia="Calibri" w:hAnsi="Calibri"/>
          <w:i w:val="false"/>
          <w:iCs w:val="false"/>
          <w:color w:val="1F1E1D"/>
          <w:sz w:val="21"/>
          <w:szCs w:val="21"/>
        </w:rPr>
        <w:t xml:space="preserve">pyvar is built and maintained by Fibtec Limited, a UK-based financial technology company. Fibtec also offers commercial enterprise support and private deployment of pyvar for institutions that need it — a sustainability model designed to subsidise, not compete with, the free public tier this grant would help strengthen (see the accompanying monetization strategy document).</w:t>
      </w:r>
    </w:p>
    <w:p>
      <w:pPr>
        <w:spacing w:after="160" w:line="300"/>
      </w:pPr>
      <w:r>
        <w:rPr>
          <w:rFonts w:ascii="Calibri" w:cs="Calibri" w:eastAsia="Calibri" w:hAnsi="Calibri"/>
          <w:b/>
          <w:bCs/>
          <w:sz w:val="21"/>
          <w:szCs w:val="21"/>
        </w:rPr>
        <w:t xml:space="preserve">Contact: </w:t>
      </w:r>
      <w:r>
        <w:rPr>
          <w:rFonts w:ascii="Calibri" w:cs="Calibri" w:eastAsia="Calibri" w:hAnsi="Calibri"/>
          <w:color w:val="4C6B7A"/>
          <w:sz w:val="21"/>
          <w:szCs w:val="21"/>
        </w:rPr>
        <w:t xml:space="preserve">info@fibtec.co.uk</w:t>
      </w:r>
      <w:r>
        <w:rPr>
          <w:rFonts w:ascii="Calibri" w:cs="Calibri" w:eastAsia="Calibri" w:hAnsi="Calibri"/>
          <w:sz w:val="21"/>
          <w:szCs w:val="21"/>
        </w:rPr>
        <w:t xml:space="preserve">   ·   Web: </w:t>
      </w:r>
      <w:r>
        <w:rPr>
          <w:rFonts w:ascii="Calibri" w:cs="Calibri" w:eastAsia="Calibri" w:hAnsi="Calibri"/>
          <w:color w:val="4C6B7A"/>
          <w:sz w:val="21"/>
          <w:szCs w:val="21"/>
        </w:rPr>
        <w:t xml:space="preserve">https://pyvar.com</w:t>
      </w:r>
      <w:r>
        <w:rPr>
          <w:rFonts w:ascii="Calibri" w:cs="Calibri" w:eastAsia="Calibri" w:hAnsi="Calibri"/>
          <w:sz w:val="21"/>
          <w:szCs w:val="21"/>
        </w:rPr>
        <w:t xml:space="preserve">   ·   Code: </w:t>
      </w:r>
      <w:r>
        <w:rPr>
          <w:rFonts w:ascii="Calibri" w:cs="Calibri" w:eastAsia="Calibri" w:hAnsi="Calibri"/>
          <w:color w:val="4C6B7A"/>
          <w:sz w:val="21"/>
          <w:szCs w:val="21"/>
        </w:rPr>
        <w:t xml:space="preserve">github.com/fibtecltd/pyvar</w:t>
      </w:r>
    </w:p>
    <w:sectPr>
      <w:footerReference w:type="default" r:id="rId7"/>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862"/>
        <w:sz w:val="15"/>
        <w:szCs w:val="15"/>
      </w:rPr>
      <w:t xml:space="preserve">pyvar.com — Grant Brief (NLnet)   ·   </w:t>
    </w:r>
    <w:r>
      <w:rPr>
        <w:rFonts w:ascii="Consolas" w:cs="Consolas" w:eastAsia="Consolas" w:hAnsi="Consolas"/>
        <w:color w:val="6B6862"/>
        <w:sz w:val="15"/>
        <w:szCs w:val="15"/>
      </w:rPr>
      <w:fldChar w:fldCharType="begin"/>
      <w:instrText xml:space="preserve">PAGE</w:instrText>
      <w:fldChar w:fldCharType="separate"/>
      <w:fldChar w:fldCharType="end"/>
    </w:r>
    <w:r>
      <w:rPr>
        <w:rFonts w:ascii="Consolas" w:cs="Consolas" w:eastAsia="Consolas" w:hAnsi="Consolas"/>
        <w:color w:val="6B6862"/>
        <w:sz w:val="15"/>
        <w:szCs w:val="15"/>
      </w:rPr>
      <w:t xml:space="preserve"> / </w:t>
    </w:r>
    <w:r>
      <w:rPr>
        <w:rFonts w:ascii="Consolas" w:cs="Consolas" w:eastAsia="Consolas" w:hAnsi="Consolas"/>
        <w:color w:val="6B686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E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pyvar.com</dc:title>
  <dc:creator>Fibtec Limited</dc:creator>
  <cp:lastModifiedBy>Un-named</cp:lastModifiedBy>
  <cp:revision>1</cp:revision>
  <dcterms:created xsi:type="dcterms:W3CDTF">2026-08-29T16:39:19.070Z</dcterms:created>
  <dcterms:modified xsi:type="dcterms:W3CDTF">2026-08-29T16:39:19.083Z</dcterms:modified>
</cp:coreProperties>
</file>

<file path=docProps/custom.xml><?xml version="1.0" encoding="utf-8"?>
<Properties xmlns="http://schemas.openxmlformats.org/officeDocument/2006/custom-properties" xmlns:vt="http://schemas.openxmlformats.org/officeDocument/2006/docPropsVTypes"/>
</file>