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left"/>
      </w:pPr>
      <w:r>
        <w:rPr>
          <w:rFonts w:ascii="Consolas" w:cs="Consolas" w:eastAsia="Consolas" w:hAnsi="Consolas"/>
          <w:b/>
          <w:bCs/>
          <w:color w:val="A84A2E"/>
          <w:sz w:val="22"/>
          <w:szCs w:val="22"/>
        </w:rPr>
        <w:t xml:space="preserve">pyvar</w:t>
      </w:r>
    </w:p>
    <w:p>
      <w:pPr>
        <w:spacing w:after="200" w:before="300"/>
      </w:pPr>
      <w:r>
        <w:rPr>
          <w:rFonts w:ascii="Calibri" w:cs="Calibri" w:eastAsia="Calibri" w:hAnsi="Calibri"/>
          <w:b/>
          <w:bCs/>
          <w:color w:val="1F1E1D"/>
          <w:sz w:val="56"/>
          <w:szCs w:val="56"/>
        </w:rPr>
        <w:t xml:space="preserve">Open financial risk
infrastructure, in the open.</w:t>
      </w:r>
    </w:p>
    <w:p>
      <w:pPr>
        <w:spacing w:after="600"/>
      </w:pPr>
      <w:r>
        <w:rPr>
          <w:rFonts w:ascii="Calibri" w:cs="Calibri" w:eastAsia="Calibri" w:hAnsi="Calibri"/>
          <w:i/>
          <w:iCs/>
          <w:color w:val="6B6862"/>
          <w:sz w:val="28"/>
          <w:szCs w:val="28"/>
        </w:rPr>
        <w:t xml:space="preserve">A grant brief for pyvar.com</w:t>
      </w:r>
    </w:p>
    <w:p>
      <w:pPr>
        <w:spacing w:after="60"/>
      </w:pPr>
      <w:r>
        <w:rPr>
          <w:rFonts w:ascii="Consolas" w:cs="Consolas" w:eastAsia="Consolas" w:hAnsi="Consolas"/>
          <w:b/>
          <w:bCs/>
          <w:color w:val="1F1E1D"/>
          <w:sz w:val="20"/>
          <w:szCs w:val="20"/>
        </w:rPr>
        <w:t xml:space="preserve">Applicant  </w:t>
      </w:r>
      <w:r>
        <w:rPr>
          <w:rFonts w:ascii="Calibri" w:cs="Calibri" w:eastAsia="Calibri" w:hAnsi="Calibri"/>
          <w:color w:val="6B6862"/>
          <w:sz w:val="20"/>
          <w:szCs w:val="20"/>
        </w:rPr>
        <w:t xml:space="preserve">Fibtec Limited (United Kingdom)</w:t>
      </w:r>
    </w:p>
    <w:p>
      <w:pPr>
        <w:spacing w:after="60"/>
      </w:pPr>
      <w:r>
        <w:rPr>
          <w:rFonts w:ascii="Consolas" w:cs="Consolas" w:eastAsia="Consolas" w:hAnsi="Consolas"/>
          <w:b/>
          <w:bCs/>
          <w:color w:val="1F1E1D"/>
          <w:sz w:val="20"/>
          <w:szCs w:val="20"/>
        </w:rPr>
        <w:t xml:space="preserve">Project  </w:t>
      </w:r>
      <w:r>
        <w:rPr>
          <w:rFonts w:ascii="Calibri" w:cs="Calibri" w:eastAsia="Calibri" w:hAnsi="Calibri"/>
          <w:color w:val="6B6862"/>
          <w:sz w:val="20"/>
          <w:szCs w:val="20"/>
        </w:rPr>
        <w:t xml:space="preserve">pyvar — pyvar.com</w:t>
      </w:r>
    </w:p>
    <w:p>
      <w:pPr>
        <w:spacing w:after="60"/>
      </w:pPr>
      <w:r>
        <w:rPr>
          <w:rFonts w:ascii="Consolas" w:cs="Consolas" w:eastAsia="Consolas" w:hAnsi="Consolas"/>
          <w:b/>
          <w:bCs/>
          <w:color w:val="1F1E1D"/>
          <w:sz w:val="20"/>
          <w:szCs w:val="20"/>
        </w:rPr>
        <w:t xml:space="preserve">Licence  </w:t>
      </w:r>
      <w:r>
        <w:rPr>
          <w:rFonts w:ascii="Calibri" w:cs="Calibri" w:eastAsia="Calibri" w:hAnsi="Calibri"/>
          <w:color w:val="6B6862"/>
          <w:sz w:val="20"/>
          <w:szCs w:val="20"/>
        </w:rPr>
        <w:t xml:space="preserve">MIT (fully open source)</w:t>
      </w:r>
    </w:p>
    <w:p>
      <w:pPr>
        <w:spacing w:after="60"/>
      </w:pPr>
      <w:r>
        <w:rPr>
          <w:rFonts w:ascii="Consolas" w:cs="Consolas" w:eastAsia="Consolas" w:hAnsi="Consolas"/>
          <w:b/>
          <w:bCs/>
          <w:color w:val="1F1E1D"/>
          <w:sz w:val="20"/>
          <w:szCs w:val="20"/>
        </w:rPr>
        <w:t xml:space="preserve">Prepared  </w:t>
      </w:r>
      <w:r>
        <w:rPr>
          <w:rFonts w:ascii="Calibri" w:cs="Calibri" w:eastAsia="Calibri" w:hAnsi="Calibri"/>
          <w:color w:val="6B6862"/>
          <w:sz w:val="20"/>
          <w:szCs w:val="20"/>
        </w:rPr>
        <w:t xml:space="preserve">August 2026</w:t>
      </w:r>
    </w:p>
    <w:p>
      <w:pPr>
        <w:spacing w:after="60"/>
      </w:pPr>
      <w:r>
        <w:rPr>
          <w:rFonts w:ascii="Consolas" w:cs="Consolas" w:eastAsia="Consolas" w:hAnsi="Consolas"/>
          <w:b/>
          <w:bCs/>
          <w:color w:val="1F1E1D"/>
          <w:sz w:val="20"/>
          <w:szCs w:val="20"/>
        </w:rPr>
        <w:t xml:space="preserve">Contact  </w:t>
      </w:r>
      <w:r>
        <w:rPr>
          <w:rFonts w:ascii="Calibri" w:cs="Calibri" w:eastAsia="Calibri" w:hAnsi="Calibri"/>
          <w:color w:val="6B6862"/>
          <w:sz w:val="20"/>
          <w:szCs w:val="20"/>
        </w:rPr>
        <w:t xml:space="preserve">info@fibtec.co.uk · https://fibtec.co.uk</w:t>
      </w:r>
    </w:p>
    <w:p>
      <w:r>
        <w:br w:type="page"/>
      </w:r>
    </w:p>
    <w:p>
      <w:pPr>
        <w:pStyle w:val="Heading1"/>
        <w:pBdr>
          <w:bottom w:val="single" w:color="A84A2E" w:sz="8" w:space="4"/>
        </w:pBdr>
        <w:spacing w:after="200" w:before="400"/>
      </w:pPr>
      <w:r>
        <w:rPr>
          <w:rFonts w:ascii="Calibri" w:cs="Calibri" w:eastAsia="Calibri" w:hAnsi="Calibri"/>
          <w:b/>
          <w:bCs/>
          <w:color w:val="1F1E1D"/>
          <w:sz w:val="30"/>
          <w:szCs w:val="30"/>
        </w:rPr>
        <w:t xml:space="preserve">Executive summary</w:t>
      </w:r>
    </w:p>
    <w:p>
      <w:pPr>
        <w:spacing w:after="240" w:line="320"/>
      </w:pPr>
      <w:r>
        <w:rPr>
          <w:rFonts w:ascii="Calibri" w:cs="Calibri" w:eastAsia="Calibri" w:hAnsi="Calibri"/>
          <w:color w:val="1F1E1D"/>
          <w:sz w:val="24"/>
          <w:szCs w:val="24"/>
        </w:rPr>
        <w:t xml:space="preserve">pyvar is an open-source (MIT-licensed) financial and risk computation platform: 385 regulatory-grade functions — Value-at-Risk, Expected Shortfall, credit risk (PD/LGD/EAD, IFRS 9 ECL), derivatives pricing, liquidity risk (LCR/NSFR), operational risk (LDA/AMA/SMA), portfolio analytics, ALM, and Basel/FRTB/MiFID II/EMIR regulatory capital — exposed as a free, auditable REST API and, as of this release, as native tools for AI coding agents via a Model Context Protocol (MCP) server and 13 Claude Code skills.</w:t>
      </w:r>
    </w:p>
    <w:p>
      <w:pPr>
        <w:spacing w:after="160" w:line="300"/>
      </w:pPr>
      <w:r>
        <w:rPr>
          <w:rFonts w:ascii="Calibri" w:cs="Calibri" w:eastAsia="Calibri" w:hAnsi="Calibri"/>
          <w:i w:val="false"/>
          <w:iCs w:val="false"/>
          <w:color w:val="1F1E1D"/>
          <w:sz w:val="21"/>
          <w:szCs w:val="21"/>
        </w:rPr>
        <w:t xml:space="preserve">The request is for non-dilutive funding to keep the free tier of this public infrastructure running, commission an independent security/numerical audit, and extend regulatory coverage — not to build a product from scratch. The software exists today, is deployed, and is used under its free tier by developers, students and smaller institutions who cannot justify a Bloomberg Terminal or Murex licence for a single risk calculation.</w:t>
      </w:r>
    </w:p>
    <w:p>
      <w:pPr>
        <w:pStyle w:val="Heading1"/>
        <w:pBdr>
          <w:bottom w:val="single" w:color="A84A2E" w:sz="8" w:space="4"/>
        </w:pBdr>
        <w:spacing w:after="200" w:before="400"/>
      </w:pPr>
      <w:r>
        <w:rPr>
          <w:rFonts w:ascii="Calibri" w:cs="Calibri" w:eastAsia="Calibri" w:hAnsi="Calibri"/>
          <w:b/>
          <w:bCs/>
          <w:color w:val="1F1E1D"/>
          <w:sz w:val="30"/>
          <w:szCs w:val="30"/>
        </w:rPr>
        <w:t xml:space="preserve">The problem: regulatory-grade risk tooling is a walled garden</w:t>
      </w:r>
    </w:p>
    <w:p>
      <w:pPr>
        <w:spacing w:after="160" w:line="300"/>
      </w:pPr>
      <w:r>
        <w:rPr>
          <w:rFonts w:ascii="Calibri" w:cs="Calibri" w:eastAsia="Calibri" w:hAnsi="Calibri"/>
          <w:i w:val="false"/>
          <w:iCs w:val="false"/>
          <w:color w:val="1F1E1D"/>
          <w:sz w:val="21"/>
          <w:szCs w:val="21"/>
        </w:rPr>
        <w:t xml:space="preserve">Basel III/IV, FRTB, MiFID II, EMIR and IFRS 9 impose the same calculation obligations on every regulated financial institution, yet the tooling to meet them is concentrated in a handful of proprietary, closed-source vendor platforms whose licensing costs run into six or seven figures a year. The practical consequences:</w:t>
      </w:r>
    </w:p>
    <w:p>
      <w:pPr>
        <w:pStyle w:val="ListParagraph"/>
        <w:numPr>
          <w:ilvl w:val="0"/>
          <w:numId w:val="2"/>
        </w:numPr>
        <w:spacing w:after="100"/>
      </w:pPr>
      <w:r>
        <w:rPr>
          <w:rFonts w:ascii="Calibri" w:cs="Calibri" w:eastAsia="Calibri" w:hAnsi="Calibri"/>
          <w:color w:val="1F1E1D"/>
          <w:sz w:val="21"/>
          <w:szCs w:val="21"/>
        </w:rPr>
        <w:t xml:space="preserve">Smaller banks, credit unions, fintech startups and researchers in lower-income markets are priced out of the same risk methodology that larger institutions use — a genuine access-to-finance and financial-inclusion problem, not just a cost inconvenience.</w:t>
      </w:r>
    </w:p>
    <w:p>
      <w:pPr>
        <w:pStyle w:val="ListParagraph"/>
        <w:numPr>
          <w:ilvl w:val="0"/>
          <w:numId w:val="2"/>
        </w:numPr>
        <w:spacing w:after="100"/>
      </w:pPr>
      <w:r>
        <w:rPr>
          <w:rFonts w:ascii="Calibri" w:cs="Calibri" w:eastAsia="Calibri" w:hAnsi="Calibri"/>
          <w:color w:val="1F1E1D"/>
          <w:sz w:val="21"/>
          <w:szCs w:val="21"/>
        </w:rPr>
        <w:t xml:space="preserve">The formulas behind widely-used risk numbers are frequently proprietary, so neither the institution using them, nor its regulator, nor independent researchers, can fully audit how a capital or VaR figure was actually produced — a transparency gap the 2008 crisis specifically highlighted as a systemic-risk concern.</w:t>
      </w:r>
    </w:p>
    <w:p>
      <w:pPr>
        <w:pStyle w:val="ListParagraph"/>
        <w:numPr>
          <w:ilvl w:val="0"/>
          <w:numId w:val="2"/>
        </w:numPr>
        <w:spacing w:after="100"/>
      </w:pPr>
      <w:r>
        <w:rPr>
          <w:rFonts w:ascii="Calibri" w:cs="Calibri" w:eastAsia="Calibri" w:hAnsi="Calibri"/>
          <w:color w:val="1F1E1D"/>
          <w:sz w:val="21"/>
          <w:szCs w:val="21"/>
        </w:rPr>
        <w:t xml:space="preserve">Concentration in a small number of closed vendor platforms is itself a form of systemic risk: a shared, auditable, open implementation of the same published Basel/FRTB formulas is a resilience improvement for the sector as a whole, not just a cost saving for one firm.</w:t>
      </w:r>
    </w:p>
    <w:p>
      <w:pPr>
        <w:pStyle w:val="ListParagraph"/>
        <w:numPr>
          <w:ilvl w:val="0"/>
          <w:numId w:val="2"/>
        </w:numPr>
        <w:spacing w:after="100"/>
      </w:pPr>
      <w:r>
        <w:rPr>
          <w:rFonts w:ascii="Calibri" w:cs="Calibri" w:eastAsia="Calibri" w:hAnsi="Calibri"/>
          <w:color w:val="1F1E1D"/>
          <w:sz w:val="21"/>
          <w:szCs w:val="21"/>
        </w:rPr>
        <w:t xml:space="preserve">The next wave of financial tooling is agent-driven — AI systems that need to call risk functions programmatically. Closed, seat-licensed vendor platforms are not built for that access pattern; open, API-first infrastructure is.</w:t>
      </w:r>
    </w:p>
    <w:p>
      <w:pPr>
        <w:pStyle w:val="Heading1"/>
        <w:pBdr>
          <w:bottom w:val="single" w:color="A84A2E" w:sz="8" w:space="4"/>
        </w:pBdr>
        <w:spacing w:after="200" w:before="400"/>
      </w:pPr>
      <w:r>
        <w:rPr>
          <w:rFonts w:ascii="Calibri" w:cs="Calibri" w:eastAsia="Calibri" w:hAnsi="Calibri"/>
          <w:b/>
          <w:bCs/>
          <w:color w:val="1F1E1D"/>
          <w:sz w:val="30"/>
          <w:szCs w:val="30"/>
        </w:rPr>
        <w:t xml:space="preserve">What pyvar is</w:t>
      </w:r>
    </w:p>
    <w:p>
      <w:pPr>
        <w:spacing w:after="160" w:line="300"/>
      </w:pPr>
      <w:r>
        <w:rPr>
          <w:rFonts w:ascii="Calibri" w:cs="Calibri" w:eastAsia="Calibri" w:hAnsi="Calibri"/>
          <w:i w:val="false"/>
          <w:iCs w:val="false"/>
          <w:color w:val="1F1E1D"/>
          <w:sz w:val="21"/>
          <w:szCs w:val="21"/>
        </w:rPr>
        <w:t xml:space="preserve">pyvar.com is a REST API (and, from this release, an MCP server + Claude Code skill set) built on Python 3.11, FastAPI, and Numba JIT-accelerated compute, running on AWS (ECS Fargate/Spot, Aurora Serverless v2, SQS). It is fully open source under the MIT licence — every formula, every line of the compute engine, is publicly readable and cross-validated against the published Basel and FRTB reference documents, not a black box.</w:t>
      </w:r>
    </w:p>
    <w:p>
      <w:pPr>
        <w:pStyle w:val="Heading2"/>
        <w:spacing w:after="120" w:before="300"/>
      </w:pPr>
      <w:r>
        <w:rPr>
          <w:rFonts w:ascii="Calibri" w:cs="Calibri" w:eastAsia="Calibri" w:hAnsi="Calibri"/>
          <w:b/>
          <w:bCs/>
          <w:color w:val="7A3620"/>
          <w:sz w:val="24"/>
          <w:szCs w:val="24"/>
        </w:rPr>
        <w:t xml:space="preserve">385 functions across 8 domains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100"/>
      </w:tblGrid>
      <w:tr>
        <w:trPr>
          <w:tblHeader/>
        </w:trPr>
        <w:tc>
          <w:tcPr>
            <w:tcW w:type="dxa" w:w="25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Domain</w:t>
            </w:r>
          </w:p>
        </w:tc>
        <w:tc>
          <w:tcPr>
            <w:tcW w:type="dxa" w:w="12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Fn count</w:t>
            </w:r>
          </w:p>
        </w:tc>
        <w:tc>
          <w:tcPr>
            <w:tcW w:type="dxa" w:w="61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Coverage</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Market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68</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Monte Carlo &amp; parametric VaR, Expected Shortfall, Greeks, stress testing, FRTB SA/IMA, backtesting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Credit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55</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PD/LGD/EAD, IRB/SA capital, XVA, IFRS 9 ECL, CDS pricing, SA-CCR, credit scoring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Derivatives &amp; Pricing</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62</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Black-Scholes, Heston, SABR, Dupire, LSM American/Bermudan, fixed income, IRS/CDS, FX</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Liquidity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40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LCR, NSFR, HQLA, cash-flow ladders, ILAAP, intraday liquidity, LiqVaR</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Operational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44</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LDA, AMA, SMA capital, RCSA, KRI monitoring, scenario analysis, BEICF</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Portfolio Analytics</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50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Markowitz/Black-Litterman/risk-parity, Sharpe/Sortino, factor models, PCA, ESG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Regulatory &amp; Compliance</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30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Basel III/IV, FRTB, ICAAP/SREP, MiFID II, EMIR, Solvency II, CRR2</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ALM &amp; Balance Sheet</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33</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Duration gap, NII/EVE, IRRBB six standard shocks, repricing gap, NMD models, FTP</w:t>
            </w:r>
          </w:p>
        </w:tc>
      </w:tr>
    </w:tbl>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All figures are pyvar's own published function counts (portal/functions.json, generated from the codebase itself, not marketing copy written separately from the code).</w:t>
      </w:r>
    </w:p>
    <w:p>
      <w:pPr>
        <w:pStyle w:val="Heading2"/>
        <w:spacing w:after="120" w:before="300"/>
      </w:pPr>
      <w:r>
        <w:rPr>
          <w:rFonts w:ascii="Calibri" w:cs="Calibri" w:eastAsia="Calibri" w:hAnsi="Calibri"/>
          <w:b/>
          <w:bCs/>
          <w:color w:val="7A3620"/>
          <w:sz w:val="24"/>
          <w:szCs w:val="24"/>
        </w:rPr>
        <w:t xml:space="preserve">Built to be inspected, not just used</w:t>
      </w:r>
    </w:p>
    <w:p>
      <w:pPr>
        <w:pStyle w:val="ListParagraph"/>
        <w:numPr>
          <w:ilvl w:val="0"/>
          <w:numId w:val="2"/>
        </w:numPr>
        <w:spacing w:after="100"/>
      </w:pPr>
      <w:r>
        <w:rPr>
          <w:rFonts w:ascii="Calibri" w:cs="Calibri" w:eastAsia="Calibri" w:hAnsi="Calibri"/>
          <w:color w:val="1F1E1D"/>
          <w:sz w:val="21"/>
          <w:szCs w:val="21"/>
        </w:rPr>
        <w:t xml:space="preserve">Deterministic and reproducible: identical seed → identical result, always — a property most vendor Monte Carlo engines do not publish or guarantee.</w:t>
      </w:r>
    </w:p>
    <w:p>
      <w:pPr>
        <w:pStyle w:val="ListParagraph"/>
        <w:numPr>
          <w:ilvl w:val="0"/>
          <w:numId w:val="2"/>
        </w:numPr>
        <w:spacing w:after="100"/>
      </w:pPr>
      <w:r>
        <w:rPr>
          <w:rFonts w:ascii="Calibri" w:cs="Calibri" w:eastAsia="Calibri" w:hAnsi="Calibri"/>
          <w:color w:val="1F1E1D"/>
          <w:sz w:val="21"/>
          <w:szCs w:val="21"/>
        </w:rPr>
        <w:t xml:space="preserve">Automated numerical-property test suite runs on every change: VaR is always positive, CVaR is always ≥ VaR, 99% VaR is always &gt; 95% VaR, absolute VaR scales linearly with portfolio value.</w:t>
      </w:r>
    </w:p>
    <w:p>
      <w:pPr>
        <w:pStyle w:val="ListParagraph"/>
        <w:numPr>
          <w:ilvl w:val="0"/>
          <w:numId w:val="2"/>
        </w:numPr>
        <w:spacing w:after="100"/>
      </w:pPr>
      <w:r>
        <w:rPr>
          <w:rFonts w:ascii="Calibri" w:cs="Calibri" w:eastAsia="Calibri" w:hAnsi="Calibri"/>
          <w:color w:val="1F1E1D"/>
          <w:sz w:val="21"/>
          <w:szCs w:val="21"/>
        </w:rPr>
        <w:t xml:space="preserve">Backtesting and P&amp;L Attribution implement the Basel Committee's traffic-light thresholds exactly (250 trading days, green/yellow/red breach zones, 3.0–4.0 capital multiplier) — not an approximation.</w:t>
      </w:r>
    </w:p>
    <w:p>
      <w:pPr>
        <w:pStyle w:val="ListParagraph"/>
        <w:numPr>
          <w:ilvl w:val="0"/>
          <w:numId w:val="2"/>
        </w:numPr>
        <w:spacing w:after="100"/>
      </w:pPr>
      <w:r>
        <w:rPr>
          <w:rFonts w:ascii="Calibri" w:cs="Calibri" w:eastAsia="Calibri" w:hAnsi="Calibri"/>
          <w:color w:val="1F1E1D"/>
          <w:sz w:val="21"/>
          <w:szCs w:val="21"/>
        </w:rPr>
        <w:t xml:space="preserve">Every commit, every formula, every dependency is publicly visible on GitHub under the MIT licence — a regulator, an academic, or a competitor's risk team can read the actual code that produces the number.</w:t>
      </w:r>
    </w:p>
    <w:p>
      <w:pPr>
        <w:pStyle w:val="Heading2"/>
        <w:spacing w:after="120" w:before="300"/>
      </w:pPr>
      <w:r>
        <w:rPr>
          <w:rFonts w:ascii="Calibri" w:cs="Calibri" w:eastAsia="Calibri" w:hAnsi="Calibri"/>
          <w:b/>
          <w:bCs/>
          <w:color w:val="7A3620"/>
          <w:sz w:val="24"/>
          <w:szCs w:val="24"/>
        </w:rPr>
        <w:t xml:space="preserve">AI-agent-native, not just API-first</w:t>
      </w:r>
    </w:p>
    <w:p>
      <w:pPr>
        <w:spacing w:after="160" w:line="300"/>
      </w:pPr>
      <w:r>
        <w:rPr>
          <w:rFonts w:ascii="Calibri" w:cs="Calibri" w:eastAsia="Calibri" w:hAnsi="Calibri"/>
          <w:i w:val="false"/>
          <w:iCs w:val="false"/>
          <w:color w:val="1F1E1D"/>
          <w:sz w:val="21"/>
          <w:szCs w:val="21"/>
        </w:rPr>
        <w:t xml:space="preserve">pyvar now ships 13 Claude Code skills (one per risk domain plus five covering its own architecture) and an MCP server exposing all 385 functions as callable tools for AI coding agents — generated directly from the same source of truth as the REST API, so it cannot drift out of sync with what is actually deployed. As AI agents take on more of the day-to-day work of quantitative and compliance teams, open, machine-readable, auditable risk infrastructure becomes materially more important than it was when only humans were the consumers of these APIs — pyvar is, to our knowledge, one of the first regulatory risk platforms built with that access pattern in mind from the outset.</w:t>
      </w:r>
    </w:p>
    <w:p>
      <w:pPr>
        <w:pStyle w:val="Heading1"/>
        <w:pBdr>
          <w:bottom w:val="single" w:color="A84A2E" w:sz="8" w:space="4"/>
        </w:pBdr>
        <w:spacing w:after="200" w:before="400"/>
      </w:pPr>
      <w:r>
        <w:rPr>
          <w:rFonts w:ascii="Calibri" w:cs="Calibri" w:eastAsia="Calibri" w:hAnsi="Calibri"/>
          <w:b/>
          <w:bCs/>
          <w:color w:val="1F1E1D"/>
          <w:sz w:val="30"/>
          <w:szCs w:val="30"/>
        </w:rPr>
        <w:t xml:space="preserve">Why this is grant-appropriate, not venture-appropriate</w:t>
      </w:r>
    </w:p>
    <w:p>
      <w:pPr>
        <w:spacing w:after="160" w:line="300"/>
      </w:pPr>
      <w:r>
        <w:rPr>
          <w:rFonts w:ascii="Calibri" w:cs="Calibri" w:eastAsia="Calibri" w:hAnsi="Calibri"/>
          <w:i w:val="false"/>
          <w:iCs w:val="false"/>
          <w:color w:val="1F1E1D"/>
          <w:sz w:val="21"/>
          <w:szCs w:val="21"/>
        </w:rPr>
        <w:t xml:space="preserve">pyvar's core commitment — MIT licence, free tier, fully open compute engine — is deliberately not a venture-scale business model: it exists to be a shared, auditable public good for the financial sector, in the same spirit as OpenSSL, SciPy, or the Linux kernel for their respective domains. That commitment is exactly what makes it a poor fit for pure equity investment (an investor's return depends on restricting access, which defeats the point) and a good fit for grant or public-interest funding, which explicitly rewards keeping infrastructure open and available.</w:t>
      </w:r>
    </w:p>
    <w:p>
      <w:pPr>
        <w:pStyle w:val="ListParagraph"/>
        <w:numPr>
          <w:ilvl w:val="0"/>
          <w:numId w:val="2"/>
        </w:numPr>
        <w:spacing w:after="100"/>
      </w:pPr>
      <w:r>
        <w:rPr>
          <w:rFonts w:ascii="Calibri" w:cs="Calibri" w:eastAsia="Calibri" w:hAnsi="Calibri"/>
          <w:color w:val="1F1E1D"/>
          <w:sz w:val="21"/>
          <w:szCs w:val="21"/>
        </w:rPr>
        <w:t xml:space="preserve">Digital public infrastructure: a shared, auditable implementation of Basel/FRTB formulas reduces vendor concentration risk sector-wide.</w:t>
      </w:r>
    </w:p>
    <w:p>
      <w:pPr>
        <w:pStyle w:val="ListParagraph"/>
        <w:numPr>
          <w:ilvl w:val="0"/>
          <w:numId w:val="2"/>
        </w:numPr>
        <w:spacing w:after="100"/>
      </w:pPr>
      <w:r>
        <w:rPr>
          <w:rFonts w:ascii="Calibri" w:cs="Calibri" w:eastAsia="Calibri" w:hAnsi="Calibri"/>
          <w:color w:val="1F1E1D"/>
          <w:sz w:val="21"/>
          <w:szCs w:val="21"/>
        </w:rPr>
        <w:t xml:space="preserve">Financial inclusion: removes a real cost barrier for smaller institutions, fintech startups, and researchers in lower-income markets.</w:t>
      </w:r>
    </w:p>
    <w:p>
      <w:pPr>
        <w:pStyle w:val="ListParagraph"/>
        <w:numPr>
          <w:ilvl w:val="0"/>
          <w:numId w:val="2"/>
        </w:numPr>
        <w:spacing w:after="100"/>
      </w:pPr>
      <w:r>
        <w:rPr>
          <w:rFonts w:ascii="Calibri" w:cs="Calibri" w:eastAsia="Calibri" w:hAnsi="Calibri"/>
          <w:color w:val="1F1E1D"/>
          <w:sz w:val="21"/>
          <w:szCs w:val="21"/>
        </w:rPr>
        <w:t xml:space="preserve">Transparency and financial stability: open formulas are independently auditable by regulators and researchers, not just the vendor who sold them.</w:t>
      </w:r>
    </w:p>
    <w:p>
      <w:pPr>
        <w:pStyle w:val="ListParagraph"/>
        <w:numPr>
          <w:ilvl w:val="0"/>
          <w:numId w:val="2"/>
        </w:numPr>
        <w:spacing w:after="100"/>
      </w:pPr>
      <w:r>
        <w:rPr>
          <w:rFonts w:ascii="Calibri" w:cs="Calibri" w:eastAsia="Calibri" w:hAnsi="Calibri"/>
          <w:color w:val="1F1E1D"/>
          <w:sz w:val="21"/>
          <w:szCs w:val="21"/>
        </w:rPr>
        <w:t xml:space="preserve">Responsible AI in finance: an early, working example of audit-friendly, machine-readable financial infrastructure built for the agentic-AI era.</w:t>
      </w:r>
    </w:p>
    <w:p>
      <w:pPr>
        <w:pStyle w:val="Heading1"/>
        <w:pBdr>
          <w:bottom w:val="single" w:color="A84A2E" w:sz="8" w:space="4"/>
        </w:pBdr>
        <w:spacing w:after="200" w:before="400"/>
      </w:pPr>
      <w:r>
        <w:rPr>
          <w:rFonts w:ascii="Calibri" w:cs="Calibri" w:eastAsia="Calibri" w:hAnsi="Calibri"/>
          <w:b/>
          <w:bCs/>
          <w:color w:val="1F1E1D"/>
          <w:sz w:val="30"/>
          <w:szCs w:val="30"/>
        </w:rPr>
        <w:t xml:space="preserve">Funding ask &amp; use of funds</w:t>
      </w:r>
    </w:p>
    <w:p>
      <w:pPr>
        <w:spacing w:after="160" w:line="300"/>
      </w:pPr>
      <w:r>
        <w:rPr>
          <w:rFonts w:ascii="Calibri" w:cs="Calibri" w:eastAsia="Calibri" w:hAnsi="Calibri"/>
          <w:i w:val="false"/>
          <w:iCs w:val="false"/>
          <w:color w:val="1F1E1D"/>
          <w:sz w:val="21"/>
          <w:szCs w:val="21"/>
        </w:rPr>
        <w:t xml:space="preserve">This is a request for non-dilutive funding to sustain and strengthen the free, public tier of pyvar.com — not seed capital for a new venture. Indicative allocation of a grant (final split adaptable to any specific programme's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900"/>
      </w:tblGrid>
      <w:tr>
        <w:trPr>
          <w:tblHeader/>
        </w:trPr>
        <w:tc>
          <w:tcPr>
            <w:tcW w:type="dxa" w:w="26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Allocation</w:t>
            </w:r>
          </w:p>
        </w:tc>
        <w:tc>
          <w:tcPr>
            <w:tcW w:type="dxa" w:w="13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Share</w:t>
            </w:r>
          </w:p>
        </w:tc>
        <w:tc>
          <w:tcPr>
            <w:tcW w:type="dxa" w:w="59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Purpose</w:t>
            </w:r>
          </w:p>
        </w:tc>
      </w:tr>
      <w:tr>
        <w:tc>
          <w:tcPr>
            <w:tcW w:type="dxa" w:w="26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Infrastructure sustainability</w:t>
            </w:r>
          </w:p>
        </w:tc>
        <w:tc>
          <w:tcPr>
            <w:tcW w:type="dxa" w:w="13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~45%</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Cloud compute/storage/networking for the free API tier (AWS Fargate/Spot, Aurora Serverless v2, SQS, CloudFront) — see the accompanying monetization strategy for the full cost model.</w:t>
            </w:r>
          </w:p>
        </w:tc>
      </w:tr>
      <w:tr>
        <w:tc>
          <w:tcPr>
            <w:tcW w:type="dxa" w:w="26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Independent security &amp; numerical audit</w:t>
            </w:r>
          </w:p>
        </w:tc>
        <w:tc>
          <w:tcPr>
            <w:tcW w:type="dxa" w:w="13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~25%</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A third-party review of the compute engine's regulatory-formula correctness and the platform's security posture, published openly — the credibility layer open-source financial infrastructure specifically needs.</w:t>
            </w:r>
          </w:p>
        </w:tc>
      </w:tr>
      <w:tr>
        <w:tc>
          <w:tcPr>
            <w:tcW w:type="dxa" w:w="26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Regulatory coverage expansion</w:t>
            </w:r>
          </w:p>
        </w:tc>
        <w:tc>
          <w:tcPr>
            <w:tcW w:type="dxa" w:w="13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~20%</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Additional jurisdictions and frameworks beyond the current Basel/FRTB/MiFID II/EMIR/IFRS 9 set (e.g. Solvency II depth, CRR3, region-specific capital regimes).</w:t>
            </w:r>
          </w:p>
        </w:tc>
      </w:tr>
      <w:tr>
        <w:tc>
          <w:tcPr>
            <w:tcW w:type="dxa" w:w="26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Documentation, accessibility &amp; community</w:t>
            </w:r>
          </w:p>
        </w:tc>
        <w:tc>
          <w:tcPr>
            <w:tcW w:type="dxa" w:w="13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~10%</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Expanded reference documentation, tutorials for smaller institutions and academic users, and maintenance of the open community around the project.</w:t>
            </w:r>
          </w:p>
        </w:tc>
      </w:tr>
    </w:tbl>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This document is intentionally general-purpose so it can be adapted to a specific programme's application format and word/page limits; a precise budget figure and timeline are provided on request once a target grant programme is identified.</w:t>
      </w:r>
    </w:p>
    <w:p>
      <w:pPr>
        <w:pStyle w:val="Heading1"/>
        <w:pBdr>
          <w:bottom w:val="single" w:color="A84A2E" w:sz="8" w:space="4"/>
        </w:pBdr>
        <w:spacing w:after="200" w:before="400"/>
      </w:pPr>
      <w:r>
        <w:rPr>
          <w:rFonts w:ascii="Calibri" w:cs="Calibri" w:eastAsia="Calibri" w:hAnsi="Calibri"/>
          <w:b/>
          <w:bCs/>
          <w:color w:val="1F1E1D"/>
          <w:sz w:val="30"/>
          <w:szCs w:val="30"/>
        </w:rPr>
        <w:t xml:space="preserve">Organisation</w:t>
      </w:r>
    </w:p>
    <w:p>
      <w:pPr>
        <w:spacing w:after="160" w:line="300"/>
      </w:pPr>
      <w:r>
        <w:rPr>
          <w:rFonts w:ascii="Calibri" w:cs="Calibri" w:eastAsia="Calibri" w:hAnsi="Calibri"/>
          <w:i w:val="false"/>
          <w:iCs w:val="false"/>
          <w:color w:val="1F1E1D"/>
          <w:sz w:val="21"/>
          <w:szCs w:val="21"/>
        </w:rPr>
        <w:t xml:space="preserve">pyvar is built and maintained by Fibtec Limited, a UK-based financial technology company. Fibtec also offers commercial enterprise support, SLA-backed access, and private deployment of pyvar for institutions that need it — a sustainability model designed to subsidise, not compete with, the free public tier this grant would help sustain (see the accompanying monetization strategy document).</w:t>
      </w:r>
    </w:p>
    <w:p>
      <w:pPr>
        <w:spacing w:after="160" w:line="300"/>
      </w:pPr>
      <w:r>
        <w:rPr>
          <w:rFonts w:ascii="Calibri" w:cs="Calibri" w:eastAsia="Calibri" w:hAnsi="Calibri"/>
          <w:b/>
          <w:bCs/>
          <w:sz w:val="21"/>
          <w:szCs w:val="21"/>
        </w:rPr>
        <w:t xml:space="preserve">Contact: </w:t>
      </w:r>
      <w:r>
        <w:rPr>
          <w:rFonts w:ascii="Calibri" w:cs="Calibri" w:eastAsia="Calibri" w:hAnsi="Calibri"/>
          <w:color w:val="4C6B7A"/>
          <w:sz w:val="21"/>
          <w:szCs w:val="21"/>
        </w:rPr>
        <w:t xml:space="preserve">info@fibtec.co.uk</w:t>
      </w:r>
      <w:r>
        <w:rPr>
          <w:rFonts w:ascii="Calibri" w:cs="Calibri" w:eastAsia="Calibri" w:hAnsi="Calibri"/>
          <w:sz w:val="21"/>
          <w:szCs w:val="21"/>
        </w:rPr>
        <w:t xml:space="preserve">   ·   Web: </w:t>
      </w:r>
      <w:r>
        <w:rPr>
          <w:rFonts w:ascii="Calibri" w:cs="Calibri" w:eastAsia="Calibri" w:hAnsi="Calibri"/>
          <w:color w:val="4C6B7A"/>
          <w:sz w:val="21"/>
          <w:szCs w:val="21"/>
        </w:rPr>
        <w:t xml:space="preserve">https://pyvar.com</w:t>
      </w:r>
      <w:r>
        <w:rPr>
          <w:rFonts w:ascii="Calibri" w:cs="Calibri" w:eastAsia="Calibri" w:hAnsi="Calibri"/>
          <w:sz w:val="21"/>
          <w:szCs w:val="21"/>
        </w:rPr>
        <w:t xml:space="preserve">   ·   Code: </w:t>
      </w:r>
      <w:r>
        <w:rPr>
          <w:rFonts w:ascii="Calibri" w:cs="Calibri" w:eastAsia="Calibri" w:hAnsi="Calibri"/>
          <w:color w:val="4C6B7A"/>
          <w:sz w:val="21"/>
          <w:szCs w:val="21"/>
        </w:rPr>
        <w:t xml:space="preserve">github.com/fibtecltd/pyvar</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862"/>
        <w:sz w:val="15"/>
        <w:szCs w:val="15"/>
      </w:rPr>
      <w:t xml:space="preserve">pyvar.com — Grant Brief   ·   </w:t>
    </w:r>
    <w:r>
      <w:rPr>
        <w:rFonts w:ascii="Consolas" w:cs="Consolas" w:eastAsia="Consolas" w:hAnsi="Consolas"/>
        <w:color w:val="6B6862"/>
        <w:sz w:val="15"/>
        <w:szCs w:val="15"/>
      </w:rPr>
      <w:fldChar w:fldCharType="begin"/>
      <w:instrText xml:space="preserve">PAGE</w:instrText>
      <w:fldChar w:fldCharType="separate"/>
      <w:fldChar w:fldCharType="end"/>
    </w:r>
    <w:r>
      <w:rPr>
        <w:rFonts w:ascii="Consolas" w:cs="Consolas" w:eastAsia="Consolas" w:hAnsi="Consolas"/>
        <w:color w:val="6B6862"/>
        <w:sz w:val="15"/>
        <w:szCs w:val="15"/>
      </w:rPr>
      <w:t xml:space="preserve"> / </w:t>
    </w:r>
    <w:r>
      <w:rPr>
        <w:rFonts w:ascii="Consolas" w:cs="Consolas" w:eastAsia="Consolas" w:hAnsi="Consolas"/>
        <w:color w:val="6B68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pyvar.com</dc:title>
  <dc:creator>Fibtec Limited</dc:creator>
  <cp:lastModifiedBy>Un-named</cp:lastModifiedBy>
  <cp:revision>1</cp:revision>
  <dcterms:created xsi:type="dcterms:W3CDTF">2026-08-29T12:09:09.432Z</dcterms:created>
  <dcterms:modified xsi:type="dcterms:W3CDTF">2026-08-29T12:09:09.432Z</dcterms:modified>
</cp:coreProperties>
</file>

<file path=docProps/custom.xml><?xml version="1.0" encoding="utf-8"?>
<Properties xmlns="http://schemas.openxmlformats.org/officeDocument/2006/custom-properties" xmlns:vt="http://schemas.openxmlformats.org/officeDocument/2006/docPropsVTypes"/>
</file>