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p>
    <w:p>
      <w:pPr>
        <w:jc w:val="left"/>
      </w:pPr>
      <w:r>
        <w:rPr>
          <w:rFonts w:ascii="Consolas" w:cs="Consolas" w:eastAsia="Consolas" w:hAnsi="Consolas"/>
          <w:b/>
          <w:bCs/>
          <w:color w:val="A84A2E"/>
          <w:sz w:val="22"/>
          <w:szCs w:val="22"/>
        </w:rPr>
        <w:t xml:space="preserve">pyvar</w:t>
      </w:r>
    </w:p>
    <w:p>
      <w:pPr>
        <w:spacing w:after="200" w:before="300"/>
      </w:pPr>
      <w:r>
        <w:rPr>
          <w:rFonts w:ascii="Calibri" w:cs="Calibri" w:eastAsia="Calibri" w:hAnsi="Calibri"/>
          <w:b/>
          <w:bCs/>
          <w:color w:val="1F1E1D"/>
          <w:sz w:val="56"/>
          <w:szCs w:val="56"/>
        </w:rPr>
        <w:t xml:space="preserve">Staying free without
going broke.</w:t>
      </w:r>
    </w:p>
    <w:p>
      <w:pPr>
        <w:spacing w:after="600"/>
      </w:pPr>
      <w:r>
        <w:rPr>
          <w:rFonts w:ascii="Calibri" w:cs="Calibri" w:eastAsia="Calibri" w:hAnsi="Calibri"/>
          <w:i/>
          <w:iCs/>
          <w:color w:val="6B6862"/>
          <w:sz w:val="28"/>
          <w:szCs w:val="28"/>
        </w:rPr>
        <w:t xml:space="preserve">Monetization &amp; sustainability strategy for pyvar.com</w:t>
      </w:r>
    </w:p>
    <w:p>
      <w:pPr>
        <w:spacing w:after="60"/>
      </w:pPr>
      <w:r>
        <w:rPr>
          <w:rFonts w:ascii="Consolas" w:cs="Consolas" w:eastAsia="Consolas" w:hAnsi="Consolas"/>
          <w:b/>
          <w:bCs/>
          <w:color w:val="1F1E1D"/>
          <w:sz w:val="20"/>
          <w:szCs w:val="20"/>
        </w:rPr>
        <w:t xml:space="preserve">Prepared by  </w:t>
      </w:r>
      <w:r>
        <w:rPr>
          <w:rFonts w:ascii="Calibri" w:cs="Calibri" w:eastAsia="Calibri" w:hAnsi="Calibri"/>
          <w:color w:val="6B6862"/>
          <w:sz w:val="20"/>
          <w:szCs w:val="20"/>
        </w:rPr>
        <w:t xml:space="preserve">Fibtec Limited (United Kingdom)</w:t>
      </w:r>
    </w:p>
    <w:p>
      <w:pPr>
        <w:spacing w:after="60"/>
      </w:pPr>
      <w:r>
        <w:rPr>
          <w:rFonts w:ascii="Consolas" w:cs="Consolas" w:eastAsia="Consolas" w:hAnsi="Consolas"/>
          <w:b/>
          <w:bCs/>
          <w:color w:val="1F1E1D"/>
          <w:sz w:val="20"/>
          <w:szCs w:val="20"/>
        </w:rPr>
        <w:t xml:space="preserve">Subject  </w:t>
      </w:r>
      <w:r>
        <w:rPr>
          <w:rFonts w:ascii="Calibri" w:cs="Calibri" w:eastAsia="Calibri" w:hAnsi="Calibri"/>
          <w:color w:val="6B6862"/>
          <w:sz w:val="20"/>
          <w:szCs w:val="20"/>
        </w:rPr>
        <w:t xml:space="preserve">pyvar — pyvar.com</w:t>
      </w:r>
    </w:p>
    <w:p>
      <w:pPr>
        <w:spacing w:after="60"/>
      </w:pPr>
      <w:r>
        <w:rPr>
          <w:rFonts w:ascii="Consolas" w:cs="Consolas" w:eastAsia="Consolas" w:hAnsi="Consolas"/>
          <w:b/>
          <w:bCs/>
          <w:color w:val="1F1E1D"/>
          <w:sz w:val="20"/>
          <w:szCs w:val="20"/>
        </w:rPr>
        <w:t xml:space="preserve">Status  </w:t>
      </w:r>
      <w:r>
        <w:rPr>
          <w:rFonts w:ascii="Calibri" w:cs="Calibri" w:eastAsia="Calibri" w:hAnsi="Calibri"/>
          <w:color w:val="6B6862"/>
          <w:sz w:val="20"/>
          <w:szCs w:val="20"/>
        </w:rPr>
        <w:t xml:space="preserve">Internal strategy proposal — pre-launch, for review</w:t>
      </w:r>
    </w:p>
    <w:p>
      <w:pPr>
        <w:spacing w:after="60"/>
      </w:pPr>
      <w:r>
        <w:rPr>
          <w:rFonts w:ascii="Consolas" w:cs="Consolas" w:eastAsia="Consolas" w:hAnsi="Consolas"/>
          <w:b/>
          <w:bCs/>
          <w:color w:val="1F1E1D"/>
          <w:sz w:val="20"/>
          <w:szCs w:val="20"/>
        </w:rPr>
        <w:t xml:space="preserve">Prepared  </w:t>
      </w:r>
      <w:r>
        <w:rPr>
          <w:rFonts w:ascii="Calibri" w:cs="Calibri" w:eastAsia="Calibri" w:hAnsi="Calibri"/>
          <w:color w:val="6B6862"/>
          <w:sz w:val="20"/>
          <w:szCs w:val="20"/>
        </w:rPr>
        <w:t xml:space="preserve">September 2026</w:t>
      </w:r>
    </w:p>
    <w:p>
      <w:r>
        <w:br w:type="page"/>
      </w:r>
    </w:p>
    <w:p>
      <w:pPr>
        <w:pStyle w:val="Heading1"/>
        <w:pBdr>
          <w:bottom w:val="single" w:color="A84A2E" w:sz="8" w:space="4"/>
        </w:pBdr>
        <w:spacing w:after="200" w:before="400"/>
      </w:pPr>
      <w:r>
        <w:rPr>
          <w:rFonts w:ascii="Calibri" w:cs="Calibri" w:eastAsia="Calibri" w:hAnsi="Calibri"/>
          <w:b/>
          <w:bCs/>
          <w:color w:val="1F1E1D"/>
          <w:sz w:val="30"/>
          <w:szCs w:val="30"/>
        </w:rPr>
        <w:t xml:space="preserve">Purpose and framing</w:t>
      </w:r>
    </w:p>
    <w:p>
      <w:pPr>
        <w:spacing w:after="240" w:line="320"/>
      </w:pPr>
      <w:r>
        <w:rPr>
          <w:rFonts w:ascii="Calibri" w:cs="Calibri" w:eastAsia="Calibri" w:hAnsi="Calibri"/>
          <w:color w:val="1F1E1D"/>
          <w:sz w:val="24"/>
          <w:szCs w:val="24"/>
        </w:rPr>
        <w:t xml:space="preserve">pyvar's compute engine ships under the Apache-2.0 licence and will stay that way — the whole premise of the project (see the accompanying grant brief) is that regulatory-grade risk formulas should be open and auditable. That commitment rules out the most obvious monetization lever, restricting access to the code, so this is not a pricing strategy in the conventional sense. It is an open-core / commercial-support strategy — the same shape that sustains Red Hat, GitLab and Elastic: the software is free, and the things that cost money to run or to guarantee are what's sold.</w:t>
      </w:r>
    </w:p>
    <w:p>
      <w:pPr>
        <w:spacing w:after="160" w:line="300"/>
      </w:pPr>
      <w:r>
        <w:rPr>
          <w:rFonts w:ascii="Calibri" w:cs="Calibri" w:eastAsia="Calibri" w:hAnsi="Calibri"/>
          <w:i w:val="false"/>
          <w:iCs w:val="false"/>
          <w:color w:val="1F1E1D"/>
          <w:sz w:val="21"/>
          <w:szCs w:val="21"/>
        </w:rPr>
        <w:t xml:space="preserve">The goal is narrow and explicit: cover pyvar.com's real infrastructure costs, fund the security and regulatory-accuracy audits the project's credibility depends on, and do both without ever putting the free tier or the open compute engine behind a paywall.</w:t>
      </w:r>
    </w:p>
    <w:p>
      <w:pPr>
        <w:pStyle w:val="Heading1"/>
        <w:pBdr>
          <w:bottom w:val="single" w:color="A84A2E" w:sz="8" w:space="4"/>
        </w:pBdr>
        <w:spacing w:after="200" w:before="400"/>
      </w:pPr>
      <w:r>
        <w:rPr>
          <w:rFonts w:ascii="Calibri" w:cs="Calibri" w:eastAsia="Calibri" w:hAnsi="Calibri"/>
          <w:b/>
          <w:bCs/>
          <w:color w:val="1F1E1D"/>
          <w:sz w:val="30"/>
          <w:szCs w:val="30"/>
        </w:rPr>
        <w:t xml:space="preserve">What actually costs money</w:t>
      </w:r>
    </w:p>
    <w:p>
      <w:pPr>
        <w:spacing w:after="160" w:line="300"/>
      </w:pPr>
      <w:r>
        <w:rPr>
          <w:rFonts w:ascii="Calibri" w:cs="Calibri" w:eastAsia="Calibri" w:hAnsi="Calibri"/>
          <w:i w:val="false"/>
          <w:iCs w:val="false"/>
          <w:color w:val="1F1E1D"/>
          <w:sz w:val="21"/>
          <w:szCs w:val="21"/>
        </w:rPr>
        <w:t xml:space="preserve">pyvar's AWS footprint (CLAUDE.md §3.4) is deliberately built around variable, usage-correlated cost rather than large fixed capacity, which already does a lot of the sustainability work before any pricing decision is made:</w:t>
      </w:r>
    </w:p>
    <w:p>
      <w:pPr>
        <w:pStyle w:val="ListParagraph"/>
        <w:numPr>
          <w:ilvl w:val="0"/>
          <w:numId w:val="2"/>
        </w:numPr>
        <w:spacing w:after="100"/>
      </w:pPr>
      <w:r>
        <w:rPr>
          <w:rFonts w:ascii="Calibri" w:cs="Calibri" w:eastAsia="Calibri" w:hAnsi="Calibri"/>
          <w:b/>
          <w:bCs/>
          <w:sz w:val="21"/>
          <w:szCs w:val="21"/>
        </w:rPr>
        <w:t xml:space="preserve">Compute — </w:t>
      </w:r>
      <w:r>
        <w:rPr>
          <w:rFonts w:ascii="Calibri" w:cs="Calibri" w:eastAsia="Calibri" w:hAnsi="Calibri"/>
          <w:sz w:val="21"/>
          <w:szCs w:val="21"/>
        </w:rPr>
        <w:t xml:space="preserve">ECS Fargate + Fargate Spot mixed (a small always-on base for availability, Spot for the CPU-bound Numba Monte Carlo workload), EC2 Spot with price-capacity-optimised allocation for worker capacity. Cost scales with actual job volume, not headcount or seats.</w:t>
      </w:r>
    </w:p>
    <w:p>
      <w:pPr>
        <w:pStyle w:val="ListParagraph"/>
        <w:numPr>
          <w:ilvl w:val="0"/>
          <w:numId w:val="2"/>
        </w:numPr>
        <w:spacing w:after="100"/>
      </w:pPr>
      <w:r>
        <w:rPr>
          <w:rFonts w:ascii="Calibri" w:cs="Calibri" w:eastAsia="Calibri" w:hAnsi="Calibri"/>
          <w:b/>
          <w:bCs/>
          <w:sz w:val="21"/>
          <w:szCs w:val="21"/>
        </w:rPr>
        <w:t xml:space="preserve">Database — </w:t>
      </w:r>
      <w:r>
        <w:rPr>
          <w:rFonts w:ascii="Calibri" w:cs="Calibri" w:eastAsia="Calibri" w:hAnsi="Calibri"/>
          <w:sz w:val="21"/>
          <w:szCs w:val="21"/>
        </w:rPr>
        <w:t xml:space="preserve">Aurora Serverless v2 for the job audit log, which scales capacity units with load rather than running a fixed-size instance around the clock.</w:t>
      </w:r>
    </w:p>
    <w:p>
      <w:pPr>
        <w:pStyle w:val="ListParagraph"/>
        <w:numPr>
          <w:ilvl w:val="0"/>
          <w:numId w:val="2"/>
        </w:numPr>
        <w:spacing w:after="100"/>
      </w:pPr>
      <w:r>
        <w:rPr>
          <w:rFonts w:ascii="Calibri" w:cs="Calibri" w:eastAsia="Calibri" w:hAnsi="Calibri"/>
          <w:b/>
          <w:bCs/>
          <w:sz w:val="21"/>
          <w:szCs w:val="21"/>
        </w:rPr>
        <w:t xml:space="preserve">Queue — </w:t>
      </w:r>
      <w:r>
        <w:rPr>
          <w:rFonts w:ascii="Calibri" w:cs="Calibri" w:eastAsia="Calibri" w:hAnsi="Calibri"/>
          <w:sz w:val="21"/>
          <w:szCs w:val="21"/>
        </w:rPr>
        <w:t xml:space="preserve">SQS FIFO for the async Monte Carlo VaR job pipeline — pay-per-message, no idle cost.</w:t>
      </w:r>
    </w:p>
    <w:p>
      <w:pPr>
        <w:pStyle w:val="ListParagraph"/>
        <w:numPr>
          <w:ilvl w:val="0"/>
          <w:numId w:val="2"/>
        </w:numPr>
        <w:spacing w:after="100"/>
      </w:pPr>
      <w:r>
        <w:rPr>
          <w:rFonts w:ascii="Calibri" w:cs="Calibri" w:eastAsia="Calibri" w:hAnsi="Calibri"/>
          <w:b/>
          <w:bCs/>
          <w:sz w:val="21"/>
          <w:szCs w:val="21"/>
        </w:rPr>
        <w:t xml:space="preserve">Edge &amp; storage — </w:t>
      </w:r>
      <w:r>
        <w:rPr>
          <w:rFonts w:ascii="Calibri" w:cs="Calibri" w:eastAsia="Calibri" w:hAnsi="Calibri"/>
          <w:sz w:val="21"/>
          <w:szCs w:val="21"/>
        </w:rPr>
        <w:t xml:space="preserve">CloudFront + WAF (us-east-1) fronting the API and portal, S3/MinIO-compatible Parquet storage for large result offload above a size threshold.</w:t>
      </w:r>
    </w:p>
    <w:p>
      <w:pPr>
        <w:pStyle w:val="ListParagraph"/>
        <w:numPr>
          <w:ilvl w:val="0"/>
          <w:numId w:val="2"/>
        </w:numPr>
        <w:spacing w:after="100"/>
      </w:pPr>
      <w:r>
        <w:rPr>
          <w:rFonts w:ascii="Calibri" w:cs="Calibri" w:eastAsia="Calibri" w:hAnsi="Calibri"/>
          <w:b/>
          <w:bCs/>
          <w:sz w:val="21"/>
          <w:szCs w:val="21"/>
        </w:rPr>
        <w:t xml:space="preserve">CI/CD — </w:t>
      </w:r>
      <w:r>
        <w:rPr>
          <w:rFonts w:ascii="Calibri" w:cs="Calibri" w:eastAsia="Calibri" w:hAnsi="Calibri"/>
          <w:sz w:val="21"/>
          <w:szCs w:val="21"/>
        </w:rPr>
        <w:t xml:space="preserve">a CodePipeline that already gates on Git-path filters to avoid full pipeline executions for docs-only changes — one of several deliberate cost-discipline decisions already in place, not proposed here for the first time.</w:t>
      </w:r>
    </w:p>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The practical implication: pyvar's marginal cost per additional free-tier user is small and mostly compute-bound, and it is already capped by the tier-based rate limiting in api/middleware/rate_limit.py — the free tier cannot be accidentally cost-bombed by a traffic spike the way a fixed-capacity deployment could be.</w:t>
      </w:r>
    </w:p>
    <w:p>
      <w:pPr>
        <w:pStyle w:val="Heading1"/>
        <w:pBdr>
          <w:bottom w:val="single" w:color="A84A2E" w:sz="8" w:space="4"/>
        </w:pBdr>
        <w:spacing w:after="200" w:before="400"/>
      </w:pPr>
      <w:r>
        <w:rPr>
          <w:rFonts w:ascii="Calibri" w:cs="Calibri" w:eastAsia="Calibri" w:hAnsi="Calibri"/>
          <w:b/>
          <w:bCs/>
          <w:color w:val="1F1E1D"/>
          <w:sz w:val="30"/>
          <w:szCs w:val="30"/>
        </w:rPr>
        <w:t xml:space="preserve">Revenue streams</w:t>
      </w:r>
    </w:p>
    <w:p>
      <w:pPr>
        <w:pStyle w:val="Heading2"/>
        <w:spacing w:after="120" w:before="300"/>
      </w:pPr>
      <w:r>
        <w:rPr>
          <w:rFonts w:ascii="Calibri" w:cs="Calibri" w:eastAsia="Calibri" w:hAnsi="Calibri"/>
          <w:b/>
          <w:bCs/>
          <w:color w:val="7A3620"/>
          <w:sz w:val="24"/>
          <w:szCs w:val="24"/>
        </w:rPr>
        <w:t xml:space="preserve">1. Tiered API access — formalising what already exists</w:t>
      </w:r>
    </w:p>
    <w:p>
      <w:pPr>
        <w:spacing w:after="160" w:line="300"/>
      </w:pPr>
      <w:r>
        <w:rPr>
          <w:rFonts w:ascii="Calibri" w:cs="Calibri" w:eastAsia="Calibri" w:hAnsi="Calibri"/>
          <w:i w:val="false"/>
          <w:iCs w:val="false"/>
          <w:color w:val="1F1E1D"/>
          <w:sz w:val="21"/>
          <w:szCs w:val="21"/>
        </w:rPr>
        <w:t xml:space="preserve">The codebase already implements tier-based rate limiting and cap enforcement (JWT-carried tier claims, a distinct "internal" tier used for pyvar's own service calls, tier cap tests for "pro" users). This proposal is to make that tiering commercial, not to build it from scratch:</w:t>
      </w:r>
    </w:p>
    <w:p>
      <w:pPr>
        <w:pStyle w:val="ListParagraph"/>
        <w:numPr>
          <w:ilvl w:val="0"/>
          <w:numId w:val="2"/>
        </w:numPr>
        <w:spacing w:after="100"/>
      </w:pPr>
      <w:r>
        <w:rPr>
          <w:rFonts w:ascii="Calibri" w:cs="Calibri" w:eastAsia="Calibri" w:hAnsi="Calibri"/>
          <w:b/>
          <w:bCs/>
          <w:sz w:val="21"/>
          <w:szCs w:val="21"/>
        </w:rPr>
        <w:t xml:space="preserve">Free — </w:t>
      </w:r>
      <w:r>
        <w:rPr>
          <w:rFonts w:ascii="Calibri" w:cs="Calibri" w:eastAsia="Calibri" w:hAnsi="Calibri"/>
          <w:sz w:val="21"/>
          <w:szCs w:val="21"/>
        </w:rPr>
        <w:t xml:space="preserve">the tier the grant brief and homepage describe today: no card, low daily rate limit, full access to all 385 functions. This tier is the public good and is never removed or degraded to drive upgrades.</w:t>
      </w:r>
    </w:p>
    <w:p>
      <w:pPr>
        <w:pStyle w:val="ListParagraph"/>
        <w:numPr>
          <w:ilvl w:val="0"/>
          <w:numId w:val="2"/>
        </w:numPr>
        <w:spacing w:after="100"/>
      </w:pPr>
      <w:r>
        <w:rPr>
          <w:rFonts w:ascii="Calibri" w:cs="Calibri" w:eastAsia="Calibri" w:hAnsi="Calibri"/>
          <w:b/>
          <w:bCs/>
          <w:sz w:val="21"/>
          <w:szCs w:val="21"/>
        </w:rPr>
        <w:t xml:space="preserve">Pro (subscription) — </w:t>
      </w:r>
      <w:r>
        <w:rPr>
          <w:rFonts w:ascii="Calibri" w:cs="Calibri" w:eastAsia="Calibri" w:hAnsi="Calibri"/>
          <w:sz w:val="21"/>
          <w:szCs w:val="21"/>
        </w:rPr>
        <w:t xml:space="preserve">materially higher rate limits, priority queue placement for the async Monte Carlo VaR pipeline, and result retention beyond the default TTL. Priced for individual quants, small funds and fintech teams.</w:t>
      </w:r>
    </w:p>
    <w:p>
      <w:pPr>
        <w:pStyle w:val="ListParagraph"/>
        <w:numPr>
          <w:ilvl w:val="0"/>
          <w:numId w:val="2"/>
        </w:numPr>
        <w:spacing w:after="100"/>
      </w:pPr>
      <w:r>
        <w:rPr>
          <w:rFonts w:ascii="Calibri" w:cs="Calibri" w:eastAsia="Calibri" w:hAnsi="Calibri"/>
          <w:b/>
          <w:bCs/>
          <w:sz w:val="21"/>
          <w:szCs w:val="21"/>
        </w:rPr>
        <w:t xml:space="preserve">Enterprise (contract) — </w:t>
      </w:r>
      <w:r>
        <w:rPr>
          <w:rFonts w:ascii="Calibri" w:cs="Calibri" w:eastAsia="Calibri" w:hAnsi="Calibri"/>
          <w:sz w:val="21"/>
          <w:szCs w:val="21"/>
        </w:rPr>
        <w:t xml:space="preserve">private VPC deployment, custom SLA, dedicated support — already advertised on the homepage ("Enterprise support, SLA guarantees and private deployment available via fibtec.co.uk"). This is the highest-margin, lowest-volume line.</w:t>
      </w:r>
    </w:p>
    <w:p>
      <w:pPr>
        <w:pStyle w:val="Heading2"/>
        <w:spacing w:after="120" w:before="300"/>
      </w:pPr>
      <w:r>
        <w:rPr>
          <w:rFonts w:ascii="Calibri" w:cs="Calibri" w:eastAsia="Calibri" w:hAnsi="Calibri"/>
          <w:b/>
          <w:bCs/>
          <w:color w:val="7A3620"/>
          <w:sz w:val="24"/>
          <w:szCs w:val="24"/>
        </w:rPr>
        <w:t xml:space="preserve">2. pyvar Local — a supported offline package, not a paywall around the code</w:t>
      </w:r>
    </w:p>
    <w:p>
      <w:pPr>
        <w:spacing w:after="160" w:line="300"/>
      </w:pPr>
      <w:r>
        <w:rPr>
          <w:rFonts w:ascii="Calibri" w:cs="Calibri" w:eastAsia="Calibri" w:hAnsi="Calibri"/>
          <w:i w:val="false"/>
          <w:iCs w:val="false"/>
          <w:color w:val="1F1E1D"/>
          <w:sz w:val="21"/>
          <w:szCs w:val="21"/>
        </w:rPr>
        <w:t xml:space="preserve">Detailed separately in the accompanying local-package proposal. Because the engine is Apache-2.0-licensed, anyone can already clone the repository and run it themselves — so this line is sold honestly as convenience and assurance, not code access: a tested, pre-compiled, signed release; a regulatory validation/documentation bundle mapping each function to its Basel/FRTB clause; update delivery; and support. Subscription, billed per node or per institution.</w:t>
      </w:r>
    </w:p>
    <w:p>
      <w:pPr>
        <w:pStyle w:val="Heading2"/>
        <w:spacing w:after="120" w:before="300"/>
      </w:pPr>
      <w:r>
        <w:rPr>
          <w:rFonts w:ascii="Calibri" w:cs="Calibri" w:eastAsia="Calibri" w:hAnsi="Calibri"/>
          <w:b/>
          <w:bCs/>
          <w:color w:val="7A3620"/>
          <w:sz w:val="24"/>
          <w:szCs w:val="24"/>
        </w:rPr>
        <w:t xml:space="preserve">3. Grants &amp; sponsorship — protecting the free tier specifically</w:t>
      </w:r>
    </w:p>
    <w:p>
      <w:pPr>
        <w:spacing w:after="160" w:line="300"/>
      </w:pPr>
      <w:r>
        <w:rPr>
          <w:rFonts w:ascii="Calibri" w:cs="Calibri" w:eastAsia="Calibri" w:hAnsi="Calibri"/>
          <w:i w:val="false"/>
          <w:iCs w:val="false"/>
          <w:color w:val="1F1E1D"/>
          <w:sz w:val="21"/>
          <w:szCs w:val="21"/>
        </w:rPr>
        <w:t xml:space="preserve">Non-dilutive funding (see the accompanying grant brief) is earmarked in this model for exactly the costs that keep the free tier free: baseline infrastructure and the independent security/numerical audit. It is deliberately not counted on to fund commercial feature work — that is what the subscription tiers are for — so the free tier's survival never depends on a grant renewing.</w:t>
      </w:r>
    </w:p>
    <w:p>
      <w:pPr>
        <w:pStyle w:val="Heading2"/>
        <w:spacing w:after="120" w:before="300"/>
      </w:pPr>
      <w:r>
        <w:rPr>
          <w:rFonts w:ascii="Calibri" w:cs="Calibri" w:eastAsia="Calibri" w:hAnsi="Calibri"/>
          <w:b/>
          <w:bCs/>
          <w:color w:val="7A3620"/>
          <w:sz w:val="24"/>
          <w:szCs w:val="24"/>
        </w:rPr>
        <w:t xml:space="preserve">4. Professional services</w:t>
      </w:r>
    </w:p>
    <w:p>
      <w:pPr>
        <w:spacing w:after="160" w:line="300"/>
      </w:pPr>
      <w:r>
        <w:rPr>
          <w:rFonts w:ascii="Calibri" w:cs="Calibri" w:eastAsia="Calibri" w:hAnsi="Calibri"/>
          <w:i w:val="false"/>
          <w:iCs w:val="false"/>
          <w:color w:val="1F1E1D"/>
          <w:sz w:val="21"/>
          <w:szCs w:val="21"/>
        </w:rPr>
        <w:t xml:space="preserve">Fibtec Limited already positions itself as pyvar's commercial arm (fibtec.co.uk). Bespoke regulatory model validation and certification packages, custom domain extensions, and integration consulting for institutions adopting pyvar at scale are natural, high-margin services that fund deeper engineering work — including the security audit and new regulatory coverage the grant brief also asks for, so the two funding sources reinforce rather than compete with each other.</w:t>
      </w:r>
    </w:p>
    <w:p>
      <w:pPr>
        <w:pStyle w:val="Heading1"/>
        <w:pBdr>
          <w:bottom w:val="single" w:color="A84A2E" w:sz="8" w:space="4"/>
        </w:pBdr>
        <w:spacing w:after="200" w:before="400"/>
      </w:pPr>
      <w:r>
        <w:rPr>
          <w:rFonts w:ascii="Calibri" w:cs="Calibri" w:eastAsia="Calibri" w:hAnsi="Calibri"/>
          <w:b/>
          <w:bCs/>
          <w:color w:val="1F1E1D"/>
          <w:sz w:val="30"/>
          <w:szCs w:val="30"/>
        </w:rPr>
        <w:t xml:space="preserve">Illustrative pricing (not final)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6400"/>
      </w:tblGrid>
      <w:tr>
        <w:trPr>
          <w:tblHeader/>
        </w:trPr>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Tier</w:t>
            </w:r>
          </w:p>
        </w:tc>
        <w:tc>
          <w:tcPr>
            <w:tcW w:type="dxa" w:w="18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Indicative price</w:t>
            </w:r>
          </w:p>
        </w:tc>
        <w:tc>
          <w:tcPr>
            <w:tcW w:type="dxa" w:w="64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What it includes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Free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£0</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Full 385-function access, rate-limited, community support (GitHub).</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Pro</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month</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Higher rate limits, priority queue, extended result retention, email support.</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Enterprise</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Custom contract</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Private VPC deployment, custom SLA, dedicated support, professional services.</w:t>
            </w:r>
          </w:p>
        </w:tc>
      </w:tr>
      <w:tr>
        <w:tc>
          <w:tcPr>
            <w:tcW w:type="dxa" w:w="1800"/>
            <w:tcMar>
              <w:top w:type="dxa" w:w="100"/>
              <w:left w:type="dxa" w:w="140"/>
              <w:bottom w:type="dxa" w:w="100"/>
              <w:right w:type="dxa" w:w="140"/>
            </w:tcMar>
            <w:vAlign w:val="center"/>
          </w:tcPr>
          <w:p>
            <w:pPr>
              <w:jc w:val="left"/>
            </w:pPr>
            <w:r>
              <w:rPr>
                <w:rFonts w:ascii="Calibri" w:cs="Calibri" w:eastAsia="Calibri" w:hAnsi="Calibri"/>
                <w:b/>
                <w:bCs/>
                <w:color w:val="1F1E1D"/>
                <w:sz w:val="19"/>
                <w:szCs w:val="19"/>
              </w:rPr>
              <w:t xml:space="preserve">pyvar Local</w:t>
            </w:r>
          </w:p>
        </w:tc>
        <w:tc>
          <w:tcPr>
            <w:tcW w:type="dxa" w:w="1800"/>
            <w:tcMar>
              <w:top w:type="dxa" w:w="100"/>
              <w:left w:type="dxa" w:w="140"/>
              <w:bottom w:type="dxa" w:w="100"/>
              <w:right w:type="dxa" w:w="140"/>
            </w:tcMar>
            <w:vAlign w:val="center"/>
          </w:tcPr>
          <w:p>
            <w:pPr>
              <w:jc w:val="center"/>
            </w:pPr>
            <w:r>
              <w:rPr>
                <w:rFonts w:ascii="Calibri" w:cs="Calibri" w:eastAsia="Calibri" w:hAnsi="Calibri"/>
                <w:b/>
                <w:bCs/>
                <w:color w:val="A84A2E"/>
                <w:sz w:val="18"/>
                <w:szCs w:val="18"/>
              </w:rPr>
              <w:t xml:space="preserve">£X / node / year</w:t>
            </w:r>
          </w:p>
        </w:tc>
        <w:tc>
          <w:tcPr>
            <w:tcW w:type="dxa" w:w="64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Signed offline package, regulatory documentation bundle, patch delivery, support.</w:t>
            </w:r>
          </w:p>
        </w:tc>
      </w:tr>
    </w:tbl>
    <w:p>
      <w:pPr>
        <w:pBdr>
          <w:left w:val="single" w:color="4C6B7A" w:sz="16" w:space="6"/>
        </w:pBdr>
        <w:shd w:fill="F3F1EA" w:val="clear"/>
        <w:spacing w:after="240" w:before="80" w:line="280"/>
        <w:ind w:left="200"/>
      </w:pPr>
      <w:r>
        <w:rPr>
          <w:rFonts w:ascii="Calibri" w:cs="Calibri" w:eastAsia="Calibri" w:hAnsi="Calibri"/>
          <w:i/>
          <w:iCs/>
          <w:color w:val="6B6862"/>
          <w:sz w:val="19"/>
          <w:szCs w:val="19"/>
        </w:rPr>
        <w:t xml:space="preserve">Figures are placeholders (“£X”) deliberately — this proposal is about the shape of the model, not a committed price list. Actual pricing should follow a short willingness-to-pay conversation with early Pro-tier candidates before publishing numbers.</w:t>
      </w:r>
    </w:p>
    <w:p>
      <w:pPr>
        <w:pStyle w:val="Heading1"/>
        <w:pBdr>
          <w:bottom w:val="single" w:color="A84A2E" w:sz="8" w:space="4"/>
        </w:pBdr>
        <w:spacing w:after="200" w:before="400"/>
      </w:pPr>
      <w:r>
        <w:rPr>
          <w:rFonts w:ascii="Calibri" w:cs="Calibri" w:eastAsia="Calibri" w:hAnsi="Calibri"/>
          <w:b/>
          <w:bCs/>
          <w:color w:val="1F1E1D"/>
          <w:sz w:val="30"/>
          <w:szCs w:val="30"/>
        </w:rPr>
        <w:t xml:space="preserve">Which revenue funds which cost</w:t>
      </w:r>
    </w:p>
    <w:p>
      <w:pPr>
        <w:pStyle w:val="ListParagraph"/>
        <w:numPr>
          <w:ilvl w:val="0"/>
          <w:numId w:val="2"/>
        </w:numPr>
        <w:spacing w:after="100"/>
      </w:pPr>
      <w:r>
        <w:rPr>
          <w:rFonts w:ascii="Calibri" w:cs="Calibri" w:eastAsia="Calibri" w:hAnsi="Calibri"/>
          <w:color w:val="1F1E1D"/>
          <w:sz w:val="21"/>
          <w:szCs w:val="21"/>
        </w:rPr>
        <w:t xml:space="preserve">Pro + Enterprise subscriptions cover the bulk of the scaling infrastructure cost (compute, database, queue) — the tiers most correlated with the usage that actually drives that cost.</w:t>
      </w:r>
    </w:p>
    <w:p>
      <w:pPr>
        <w:pStyle w:val="ListParagraph"/>
        <w:numPr>
          <w:ilvl w:val="0"/>
          <w:numId w:val="2"/>
        </w:numPr>
        <w:spacing w:after="100"/>
      </w:pPr>
      <w:r>
        <w:rPr>
          <w:rFonts w:ascii="Calibri" w:cs="Calibri" w:eastAsia="Calibri" w:hAnsi="Calibri"/>
          <w:color w:val="1F1E1D"/>
          <w:sz w:val="21"/>
          <w:szCs w:val="21"/>
        </w:rPr>
        <w:t xml:space="preserve">Grant/sponsorship funding is ring-fenced for the free-tier baseline and the independent security/numerical audit — the two costs that exist regardless of paid adoption.</w:t>
      </w:r>
    </w:p>
    <w:p>
      <w:pPr>
        <w:pStyle w:val="ListParagraph"/>
        <w:numPr>
          <w:ilvl w:val="0"/>
          <w:numId w:val="2"/>
        </w:numPr>
        <w:spacing w:after="100"/>
      </w:pPr>
      <w:r>
        <w:rPr>
          <w:rFonts w:ascii="Calibri" w:cs="Calibri" w:eastAsia="Calibri" w:hAnsi="Calibri"/>
          <w:color w:val="1F1E1D"/>
          <w:sz w:val="21"/>
          <w:szCs w:val="21"/>
        </w:rPr>
        <w:t xml:space="preserve">Professional services and pyvar Local subscriptions are the highest-margin lines and are earmarked for new regulatory coverage and deeper engineering investment, the same use-of-funds categories the grant brief lists — so a successful grant application reduces, rather than duplicates, what commercial revenue has to cover.</w:t>
      </w:r>
    </w:p>
    <w:p>
      <w:pPr>
        <w:pStyle w:val="Heading1"/>
        <w:pBdr>
          <w:bottom w:val="single" w:color="A84A2E" w:sz="8" w:space="4"/>
        </w:pBdr>
        <w:spacing w:after="200" w:before="400"/>
      </w:pPr>
      <w:r>
        <w:rPr>
          <w:rFonts w:ascii="Calibri" w:cs="Calibri" w:eastAsia="Calibri" w:hAnsi="Calibri"/>
          <w:b/>
          <w:bCs/>
          <w:color w:val="1F1E1D"/>
          <w:sz w:val="30"/>
          <w:szCs w:val="30"/>
        </w:rPr>
        <w:t xml:space="preserve">Risks and mitigations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tblHeader/>
        </w:trPr>
        <w:tc>
          <w:tcPr>
            <w:tcW w:type="dxa" w:w="32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Risk</w:t>
            </w:r>
          </w:p>
        </w:tc>
        <w:tc>
          <w:tcPr>
            <w:tcW w:type="dxa" w:w="6600"/>
            <w:shd w:fill="A84A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Mitigation</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Someone forks the Apache-2.0-licensed engine and hosts a free competing API.</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Real, and not preventable by licensing. Mitigated by brand trust, an official supported/certified release, continuous engine improvement, and the fact that pyvar's actual moat is the maintained, audited, regulator-aligned service around the code — the same dynamic every open-core company already operates under.</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Free-tier cost outpaces paid conversion as adoption grows.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Tier-based rate limiting already caps marginal cost per free user; Spot/serverless infrastructure scales cost with load rather than pre-provisioned capacity; grant funding is specifically earmarked for this scenario.</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AI-agent usage via the new MCP server creates a new, less predictable usage pattern.</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Flagged already in docs/p10-skills-and-plugin-plan.md's open questions: the existing tier system “wasn't originally sized around” many simultaneous agent sessions. Needs a deliberate rate-limit review before any broad promotion of the MCP plugin, not just left to the general tiering above.</w:t>
            </w:r>
          </w:p>
        </w:tc>
      </w:tr>
      <w:tr>
        <w:tc>
          <w:tcPr>
            <w:tcW w:type="dxa" w:w="32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Enterprise sales cycle is slow relative to infrastructure cost, which is continuous.</w:t>
            </w:r>
          </w:p>
        </w:tc>
        <w:tc>
          <w:tcPr>
            <w:tcW w:type="dxa" w:w="6600"/>
            <w:tcMar>
              <w:top w:type="dxa" w:w="100"/>
              <w:left w:type="dxa" w:w="140"/>
              <w:bottom w:type="dxa" w:w="100"/>
              <w:right w:type="dxa" w:w="140"/>
            </w:tcMar>
            <w:vAlign w:val="center"/>
          </w:tcPr>
          <w:p>
            <w:pPr>
              <w:jc w:val="left"/>
            </w:pPr>
            <w:r>
              <w:rPr>
                <w:rFonts w:ascii="Calibri" w:cs="Calibri" w:eastAsia="Calibri" w:hAnsi="Calibri"/>
                <w:b w:val="false"/>
                <w:bCs w:val="false"/>
                <w:color w:val="1F1E1D"/>
                <w:sz w:val="18"/>
                <w:szCs w:val="18"/>
              </w:rPr>
              <w:t xml:space="preserve">Grants and Pro-tier subscriptions are the near-term bridge; Enterprise is the long-term, higher-margin anchor once the free/Pro base establishes credibility.</w:t>
            </w:r>
          </w:p>
        </w:tc>
      </w:tr>
    </w:tbl>
    <w:p>
      <w:pPr>
        <w:pStyle w:val="Heading1"/>
        <w:pBdr>
          <w:bottom w:val="single" w:color="A84A2E" w:sz="8" w:space="4"/>
        </w:pBdr>
        <w:spacing w:after="200" w:before="400"/>
      </w:pPr>
      <w:r>
        <w:rPr>
          <w:rFonts w:ascii="Calibri" w:cs="Calibri" w:eastAsia="Calibri" w:hAnsi="Calibri"/>
          <w:b/>
          <w:bCs/>
          <w:color w:val="1F1E1D"/>
          <w:sz w:val="30"/>
          <w:szCs w:val="30"/>
        </w:rPr>
        <w:t xml:space="preserve">Summary</w:t>
      </w:r>
    </w:p>
    <w:p>
      <w:pPr>
        <w:spacing w:after="160" w:line="300"/>
      </w:pPr>
      <w:r>
        <w:rPr>
          <w:rFonts w:ascii="Calibri" w:cs="Calibri" w:eastAsia="Calibri" w:hAnsi="Calibri"/>
          <w:i w:val="false"/>
          <w:iCs w:val="false"/>
          <w:color w:val="1F1E1D"/>
          <w:sz w:val="21"/>
          <w:szCs w:val="21"/>
        </w:rPr>
        <w:t xml:space="preserve">The model is deliberately layered so that no single revenue line has to carry the whole platform: usage-correlated subscriptions cover usage-correlated cost, grants protect the parts of the platform that exist purely as a public good, and professional services fund the deeper engineering investment both the grant brief and this proposal ask for. None of it requires narrowing the Apache-2.0 licence, rate-limiting the free tier below what's already public today, or gating the compute engine itself.</w:t>
      </w:r>
    </w:p>
    <w:sectPr>
      <w:footerReference w:type="default" r:id="rId7"/>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862"/>
        <w:sz w:val="15"/>
        <w:szCs w:val="15"/>
      </w:rPr>
      <w:t xml:space="preserve">pyvar.com — Monetization Strategy   ·   </w:t>
    </w:r>
    <w:r>
      <w:rPr>
        <w:rFonts w:ascii="Consolas" w:cs="Consolas" w:eastAsia="Consolas" w:hAnsi="Consolas"/>
        <w:color w:val="6B6862"/>
        <w:sz w:val="15"/>
        <w:szCs w:val="15"/>
      </w:rPr>
      <w:fldChar w:fldCharType="begin"/>
      <w:instrText xml:space="preserve">PAGE</w:instrText>
      <w:fldChar w:fldCharType="separate"/>
      <w:fldChar w:fldCharType="end"/>
    </w:r>
    <w:r>
      <w:rPr>
        <w:rFonts w:ascii="Consolas" w:cs="Consolas" w:eastAsia="Consolas" w:hAnsi="Consolas"/>
        <w:color w:val="6B6862"/>
        <w:sz w:val="15"/>
        <w:szCs w:val="15"/>
      </w:rPr>
      <w:t xml:space="preserve"> / </w:t>
    </w:r>
    <w:r>
      <w:rPr>
        <w:rFonts w:ascii="Consolas" w:cs="Consolas" w:eastAsia="Consolas" w:hAnsi="Consolas"/>
        <w:color w:val="6B686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E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pyvar.com</dc:title>
  <dc:creator>Fibtec Limited</dc:creator>
  <cp:lastModifiedBy>Un-named</cp:lastModifiedBy>
  <cp:revision>1</cp:revision>
  <dcterms:created xsi:type="dcterms:W3CDTF">2026-08-29T12:10:30.815Z</dcterms:created>
  <dcterms:modified xsi:type="dcterms:W3CDTF">2026-08-29T12:10:30.815Z</dcterms:modified>
</cp:coreProperties>
</file>

<file path=docProps/custom.xml><?xml version="1.0" encoding="utf-8"?>
<Properties xmlns="http://schemas.openxmlformats.org/officeDocument/2006/custom-properties" xmlns:vt="http://schemas.openxmlformats.org/officeDocument/2006/docPropsVTypes"/>
</file>