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left"/>
      </w:pPr>
      <w:r>
        <w:rPr>
          <w:rFonts w:ascii="Consolas" w:cs="Consolas" w:eastAsia="Consolas" w:hAnsi="Consolas"/>
          <w:b/>
          <w:bCs/>
          <w:color w:val="A84A2E"/>
          <w:sz w:val="22"/>
          <w:szCs w:val="22"/>
        </w:rPr>
        <w:t xml:space="preserve">pyvar</w:t>
      </w:r>
    </w:p>
    <w:p>
      <w:pPr>
        <w:spacing w:after="200" w:before="300"/>
      </w:pPr>
      <w:r>
        <w:rPr>
          <w:rFonts w:ascii="Calibri" w:cs="Calibri" w:eastAsia="Calibri" w:hAnsi="Calibri"/>
          <w:b/>
          <w:bCs/>
          <w:color w:val="1F1E1D"/>
          <w:sz w:val="56"/>
          <w:szCs w:val="56"/>
        </w:rPr>
        <w:t xml:space="preserve">Staying free without
going broke.</w:t>
      </w:r>
    </w:p>
    <w:p>
      <w:pPr>
        <w:spacing w:after="600"/>
      </w:pPr>
      <w:r>
        <w:rPr>
          <w:rFonts w:ascii="Calibri" w:cs="Calibri" w:eastAsia="Calibri" w:hAnsi="Calibri"/>
          <w:i/>
          <w:iCs/>
          <w:color w:val="6B6862"/>
          <w:sz w:val="28"/>
          <w:szCs w:val="28"/>
        </w:rPr>
        <w:t xml:space="preserve">Monetization &amp; sustainability strategy for pyvar.com</w:t>
      </w:r>
    </w:p>
    <w:p>
      <w:pPr>
        <w:spacing w:after="60"/>
      </w:pPr>
      <w:r>
        <w:rPr>
          <w:rFonts w:ascii="Consolas" w:cs="Consolas" w:eastAsia="Consolas" w:hAnsi="Consolas"/>
          <w:b/>
          <w:bCs/>
          <w:color w:val="1F1E1D"/>
          <w:sz w:val="20"/>
          <w:szCs w:val="20"/>
        </w:rPr>
        <w:t xml:space="preserve">Prepared by  </w:t>
      </w:r>
      <w:r>
        <w:rPr>
          <w:rFonts w:ascii="Calibri" w:cs="Calibri" w:eastAsia="Calibri" w:hAnsi="Calibri"/>
          <w:color w:val="6B6862"/>
          <w:sz w:val="20"/>
          <w:szCs w:val="20"/>
        </w:rPr>
        <w:t xml:space="preserve">Fibtec Limited (United Kingdom)</w:t>
      </w:r>
    </w:p>
    <w:p>
      <w:pPr>
        <w:spacing w:after="60"/>
      </w:pPr>
      <w:r>
        <w:rPr>
          <w:rFonts w:ascii="Consolas" w:cs="Consolas" w:eastAsia="Consolas" w:hAnsi="Consolas"/>
          <w:b/>
          <w:bCs/>
          <w:color w:val="1F1E1D"/>
          <w:sz w:val="20"/>
          <w:szCs w:val="20"/>
        </w:rPr>
        <w:t xml:space="preserve">Subject  </w:t>
      </w:r>
      <w:r>
        <w:rPr>
          <w:rFonts w:ascii="Calibri" w:cs="Calibri" w:eastAsia="Calibri" w:hAnsi="Calibri"/>
          <w:color w:val="6B6862"/>
          <w:sz w:val="20"/>
          <w:szCs w:val="20"/>
        </w:rPr>
        <w:t xml:space="preserve">pyvar — pyvar.com</w:t>
      </w:r>
    </w:p>
    <w:p>
      <w:pPr>
        <w:spacing w:after="60"/>
      </w:pPr>
      <w:r>
        <w:rPr>
          <w:rFonts w:ascii="Consolas" w:cs="Consolas" w:eastAsia="Consolas" w:hAnsi="Consolas"/>
          <w:b/>
          <w:bCs/>
          <w:color w:val="1F1E1D"/>
          <w:sz w:val="20"/>
          <w:szCs w:val="20"/>
        </w:rPr>
        <w:t xml:space="preserve">Status  </w:t>
      </w:r>
      <w:r>
        <w:rPr>
          <w:rFonts w:ascii="Calibri" w:cs="Calibri" w:eastAsia="Calibri" w:hAnsi="Calibri"/>
          <w:color w:val="6B6862"/>
          <w:sz w:val="20"/>
          <w:szCs w:val="20"/>
        </w:rPr>
        <w:t xml:space="preserve">Internal strategy proposal — pre-launch, for review</w:t>
      </w:r>
    </w:p>
    <w:p>
      <w:pPr>
        <w:spacing w:after="60"/>
      </w:pPr>
      <w:r>
        <w:rPr>
          <w:rFonts w:ascii="Consolas" w:cs="Consolas" w:eastAsia="Consolas" w:hAnsi="Consolas"/>
          <w:b/>
          <w:bCs/>
          <w:color w:val="1F1E1D"/>
          <w:sz w:val="20"/>
          <w:szCs w:val="20"/>
        </w:rPr>
        <w:t xml:space="preserve">Prepared  </w:t>
      </w:r>
      <w:r>
        <w:rPr>
          <w:rFonts w:ascii="Calibri" w:cs="Calibri" w:eastAsia="Calibri" w:hAnsi="Calibri"/>
          <w:color w:val="6B6862"/>
          <w:sz w:val="20"/>
          <w:szCs w:val="20"/>
        </w:rPr>
        <w:t xml:space="preserve">September 2026</w:t>
      </w:r>
    </w:p>
    <w:p>
      <w:r>
        <w:br w:type="page"/>
      </w:r>
    </w:p>
    <w:p>
      <w:pPr>
        <w:pStyle w:val="Heading1"/>
        <w:pBdr>
          <w:bottom w:val="single" w:color="A84A2E" w:sz="8" w:space="4"/>
        </w:pBdr>
        <w:spacing w:after="200" w:before="400"/>
      </w:pPr>
      <w:r>
        <w:rPr>
          <w:rFonts w:ascii="Calibri" w:cs="Calibri" w:eastAsia="Calibri" w:hAnsi="Calibri"/>
          <w:b/>
          <w:bCs/>
          <w:color w:val="1F1E1D"/>
          <w:sz w:val="30"/>
          <w:szCs w:val="30"/>
        </w:rPr>
        <w:t xml:space="preserve">Purpose and framing</w:t>
      </w:r>
    </w:p>
    <w:p>
      <w:pPr>
        <w:spacing w:after="240" w:line="320"/>
      </w:pPr>
      <w:r>
        <w:rPr>
          <w:rFonts w:ascii="Calibri" w:cs="Calibri" w:eastAsia="Calibri" w:hAnsi="Calibri"/>
          <w:color w:val="1F1E1D"/>
          <w:sz w:val="24"/>
          <w:szCs w:val="24"/>
        </w:rPr>
        <w:t xml:space="preserve">pyvar's compute engine ships under the Apache-2.0 licence and will stay that way — the whole premise of the project (see the accompanying grant brief) is that regulatory-grade risk formulas should be open and auditable. That commitment rules out the most obvious monetization lever, restricting access to the code, so this is not a pricing strategy in the conventional sense. It is an open-core / commercial-support strategy — the same shape that sustains Red Hat, GitLab and Elastic: the software is free, and the things that cost money to run or to guarantee are what's sold.</w:t>
      </w:r>
    </w:p>
    <w:p>
      <w:pPr>
        <w:spacing w:after="160" w:line="300"/>
      </w:pPr>
      <w:r>
        <w:rPr>
          <w:rFonts w:ascii="Calibri" w:cs="Calibri" w:eastAsia="Calibri" w:hAnsi="Calibri"/>
          <w:i w:val="false"/>
          <w:iCs w:val="false"/>
          <w:color w:val="1F1E1D"/>
          <w:sz w:val="21"/>
          <w:szCs w:val="21"/>
        </w:rPr>
        <w:t xml:space="preserve">The goal is narrow and explicit: cover pyvar.com's real infrastructure costs, fund the security and regulatory-accuracy audits the project's credibility depends on, and do both without ever putting the free tier or the open compute engine behind a paywall.</w:t>
      </w:r>
    </w:p>
    <w:p>
      <w:pPr>
        <w:pStyle w:val="Heading1"/>
        <w:pBdr>
          <w:bottom w:val="single" w:color="A84A2E" w:sz="8" w:space="4"/>
        </w:pBdr>
        <w:spacing w:after="200" w:before="400"/>
      </w:pPr>
      <w:r>
        <w:rPr>
          <w:rFonts w:ascii="Calibri" w:cs="Calibri" w:eastAsia="Calibri" w:hAnsi="Calibri"/>
          <w:b/>
          <w:bCs/>
          <w:color w:val="1F1E1D"/>
          <w:sz w:val="30"/>
          <w:szCs w:val="30"/>
        </w:rPr>
        <w:t xml:space="preserve">What actually costs money</w:t>
      </w:r>
    </w:p>
    <w:p>
      <w:pPr>
        <w:spacing w:after="160" w:line="300"/>
      </w:pPr>
      <w:r>
        <w:rPr>
          <w:rFonts w:ascii="Calibri" w:cs="Calibri" w:eastAsia="Calibri" w:hAnsi="Calibri"/>
          <w:i w:val="false"/>
          <w:iCs w:val="false"/>
          <w:color w:val="1F1E1D"/>
          <w:sz w:val="21"/>
          <w:szCs w:val="21"/>
        </w:rPr>
        <w:t xml:space="preserve">pyvar's AWS footprint (CLAUDE.md §3.4) is deliberately built around variable, usage-correlated cost rather than large fixed capacity, which already does a lot of the sustainability work before any pricing decision is made:</w:t>
      </w:r>
    </w:p>
    <w:p>
      <w:pPr>
        <w:pStyle w:val="ListParagraph"/>
        <w:numPr>
          <w:ilvl w:val="0"/>
          <w:numId w:val="2"/>
        </w:numPr>
        <w:spacing w:after="100"/>
      </w:pPr>
      <w:r>
        <w:rPr>
          <w:rFonts w:ascii="Calibri" w:cs="Calibri" w:eastAsia="Calibri" w:hAnsi="Calibri"/>
          <w:b/>
          <w:bCs/>
          <w:sz w:val="21"/>
          <w:szCs w:val="21"/>
        </w:rPr>
        <w:t xml:space="preserve">Compute — </w:t>
      </w:r>
      <w:r>
        <w:rPr>
          <w:rFonts w:ascii="Calibri" w:cs="Calibri" w:eastAsia="Calibri" w:hAnsi="Calibri"/>
          <w:sz w:val="21"/>
          <w:szCs w:val="21"/>
        </w:rPr>
        <w:t xml:space="preserve">ECS Fargate + Fargate Spot mixed (a small always-on base for availability, Spot for the CPU-bound Numba Monte Carlo workload), EC2 Spot with price-capacity-optimised allocation for worker capacity. Cost scales with actual job volume, not headcount or seats.</w:t>
      </w:r>
    </w:p>
    <w:p>
      <w:pPr>
        <w:pStyle w:val="ListParagraph"/>
        <w:numPr>
          <w:ilvl w:val="0"/>
          <w:numId w:val="2"/>
        </w:numPr>
        <w:spacing w:after="100"/>
      </w:pPr>
      <w:r>
        <w:rPr>
          <w:rFonts w:ascii="Calibri" w:cs="Calibri" w:eastAsia="Calibri" w:hAnsi="Calibri"/>
          <w:b/>
          <w:bCs/>
          <w:sz w:val="21"/>
          <w:szCs w:val="21"/>
        </w:rPr>
        <w:t xml:space="preserve">Database — </w:t>
      </w:r>
      <w:r>
        <w:rPr>
          <w:rFonts w:ascii="Calibri" w:cs="Calibri" w:eastAsia="Calibri" w:hAnsi="Calibri"/>
          <w:sz w:val="21"/>
          <w:szCs w:val="21"/>
        </w:rPr>
        <w:t xml:space="preserve">Aurora Serverless v2 for the job audit log, which scales capacity units with load rather than running a fixed-size instance around the clock.</w:t>
      </w:r>
    </w:p>
    <w:p>
      <w:pPr>
        <w:pStyle w:val="ListParagraph"/>
        <w:numPr>
          <w:ilvl w:val="0"/>
          <w:numId w:val="2"/>
        </w:numPr>
        <w:spacing w:after="100"/>
      </w:pPr>
      <w:r>
        <w:rPr>
          <w:rFonts w:ascii="Calibri" w:cs="Calibri" w:eastAsia="Calibri" w:hAnsi="Calibri"/>
          <w:b/>
          <w:bCs/>
          <w:sz w:val="21"/>
          <w:szCs w:val="21"/>
        </w:rPr>
        <w:t xml:space="preserve">Queue — </w:t>
      </w:r>
      <w:r>
        <w:rPr>
          <w:rFonts w:ascii="Calibri" w:cs="Calibri" w:eastAsia="Calibri" w:hAnsi="Calibri"/>
          <w:sz w:val="21"/>
          <w:szCs w:val="21"/>
        </w:rPr>
        <w:t xml:space="preserve">SQS FIFO for the async Monte Carlo VaR job pipeline — pay-per-message, no idle cost.</w:t>
      </w:r>
    </w:p>
    <w:p>
      <w:pPr>
        <w:pStyle w:val="ListParagraph"/>
        <w:numPr>
          <w:ilvl w:val="0"/>
          <w:numId w:val="2"/>
        </w:numPr>
        <w:spacing w:after="100"/>
      </w:pPr>
      <w:r>
        <w:rPr>
          <w:rFonts w:ascii="Calibri" w:cs="Calibri" w:eastAsia="Calibri" w:hAnsi="Calibri"/>
          <w:b/>
          <w:bCs/>
          <w:sz w:val="21"/>
          <w:szCs w:val="21"/>
        </w:rPr>
        <w:t xml:space="preserve">Edge &amp; storage — </w:t>
      </w:r>
      <w:r>
        <w:rPr>
          <w:rFonts w:ascii="Calibri" w:cs="Calibri" w:eastAsia="Calibri" w:hAnsi="Calibri"/>
          <w:sz w:val="21"/>
          <w:szCs w:val="21"/>
        </w:rPr>
        <w:t xml:space="preserve">CloudFront + WAF (us-east-1) fronting the API and portal, S3/MinIO-compatible Parquet storage for large result offload above a size threshold.</w:t>
      </w:r>
    </w:p>
    <w:p>
      <w:pPr>
        <w:pStyle w:val="ListParagraph"/>
        <w:numPr>
          <w:ilvl w:val="0"/>
          <w:numId w:val="2"/>
        </w:numPr>
        <w:spacing w:after="100"/>
      </w:pPr>
      <w:r>
        <w:rPr>
          <w:rFonts w:ascii="Calibri" w:cs="Calibri" w:eastAsia="Calibri" w:hAnsi="Calibri"/>
          <w:b/>
          <w:bCs/>
          <w:sz w:val="21"/>
          <w:szCs w:val="21"/>
        </w:rPr>
        <w:t xml:space="preserve">CI/CD — </w:t>
      </w:r>
      <w:r>
        <w:rPr>
          <w:rFonts w:ascii="Calibri" w:cs="Calibri" w:eastAsia="Calibri" w:hAnsi="Calibri"/>
          <w:sz w:val="21"/>
          <w:szCs w:val="21"/>
        </w:rPr>
        <w:t xml:space="preserve">a CodePipeline that already gates on Git-path filters to avoid full pipeline executions for docs-only changes — one of several deliberate cost-discipline decisions already in place, not proposed here for the first time.</w:t>
      </w:r>
    </w:p>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The practical implication: pyvar's marginal cost per additional free-tier user is small and mostly compute-bound, and it is already capped by the tier-based rate limiting in api/middleware/rate_limit.py — the free tier cannot be accidentally cost-bombed by a traffic spike the way a fixed-capacity deployment could be.</w:t>
      </w:r>
    </w:p>
    <w:p>
      <w:pPr>
        <w:pStyle w:val="Heading1"/>
        <w:pBdr>
          <w:bottom w:val="single" w:color="A84A2E" w:sz="8" w:space="4"/>
        </w:pBdr>
        <w:spacing w:after="200" w:before="400"/>
      </w:pPr>
      <w:r>
        <w:rPr>
          <w:rFonts w:ascii="Calibri" w:cs="Calibri" w:eastAsia="Calibri" w:hAnsi="Calibri"/>
          <w:b/>
          <w:bCs/>
          <w:color w:val="1F1E1D"/>
          <w:sz w:val="30"/>
          <w:szCs w:val="30"/>
        </w:rPr>
        <w:t xml:space="preserve">Revenue streams</w:t>
      </w:r>
    </w:p>
    <w:p>
      <w:pPr>
        <w:pStyle w:val="Heading2"/>
        <w:spacing w:after="120" w:before="300"/>
      </w:pPr>
      <w:r>
        <w:rPr>
          <w:rFonts w:ascii="Calibri" w:cs="Calibri" w:eastAsia="Calibri" w:hAnsi="Calibri"/>
          <w:b/>
          <w:bCs/>
          <w:color w:val="7A3620"/>
          <w:sz w:val="24"/>
          <w:szCs w:val="24"/>
        </w:rPr>
        <w:t xml:space="preserve">1. Tiered API access — formalising what already exists</w:t>
      </w:r>
    </w:p>
    <w:p>
      <w:pPr>
        <w:spacing w:after="160" w:line="300"/>
      </w:pPr>
      <w:r>
        <w:rPr>
          <w:rFonts w:ascii="Calibri" w:cs="Calibri" w:eastAsia="Calibri" w:hAnsi="Calibri"/>
          <w:i w:val="false"/>
          <w:iCs w:val="false"/>
          <w:color w:val="1F1E1D"/>
          <w:sz w:val="21"/>
          <w:szCs w:val="21"/>
        </w:rPr>
        <w:t xml:space="preserve">The codebase already implements tier-based rate limiting and cap enforcement (JWT-carried tier claims, a distinct "internal" tier used for pyvar's own service calls, tier cap tests for "pro" users). This proposal is to make that tiering commercial, not to build it from scratch:</w:t>
      </w:r>
    </w:p>
    <w:p>
      <w:pPr>
        <w:pStyle w:val="ListParagraph"/>
        <w:numPr>
          <w:ilvl w:val="0"/>
          <w:numId w:val="2"/>
        </w:numPr>
        <w:spacing w:after="100"/>
      </w:pPr>
      <w:r>
        <w:rPr>
          <w:rFonts w:ascii="Calibri" w:cs="Calibri" w:eastAsia="Calibri" w:hAnsi="Calibri"/>
          <w:b/>
          <w:bCs/>
          <w:sz w:val="21"/>
          <w:szCs w:val="21"/>
        </w:rPr>
        <w:t xml:space="preserve">Free — </w:t>
      </w:r>
      <w:r>
        <w:rPr>
          <w:rFonts w:ascii="Calibri" w:cs="Calibri" w:eastAsia="Calibri" w:hAnsi="Calibri"/>
          <w:sz w:val="21"/>
          <w:szCs w:val="21"/>
        </w:rPr>
        <w:t xml:space="preserve">the tier the grant brief and homepage describe today: no card, low daily rate limit, full access to all 385 functions. This tier is the public good and is never removed or degraded to drive upgrades.</w:t>
      </w:r>
    </w:p>
    <w:p>
      <w:pPr>
        <w:pStyle w:val="ListParagraph"/>
        <w:numPr>
          <w:ilvl w:val="0"/>
          <w:numId w:val="2"/>
        </w:numPr>
        <w:spacing w:after="100"/>
      </w:pPr>
      <w:r>
        <w:rPr>
          <w:rFonts w:ascii="Calibri" w:cs="Calibri" w:eastAsia="Calibri" w:hAnsi="Calibri"/>
          <w:b/>
          <w:bCs/>
          <w:sz w:val="21"/>
          <w:szCs w:val="21"/>
        </w:rPr>
        <w:t xml:space="preserve">Pro (subscription) — </w:t>
      </w:r>
      <w:r>
        <w:rPr>
          <w:rFonts w:ascii="Calibri" w:cs="Calibri" w:eastAsia="Calibri" w:hAnsi="Calibri"/>
          <w:sz w:val="21"/>
          <w:szCs w:val="21"/>
        </w:rPr>
        <w:t xml:space="preserve">materially higher rate limits, priority queue placement for the async Monte Carlo VaR pipeline, and result retention beyond the default TTL. Priced for individual quants, small funds and fintech teams.</w:t>
      </w:r>
    </w:p>
    <w:p>
      <w:pPr>
        <w:pStyle w:val="ListParagraph"/>
        <w:numPr>
          <w:ilvl w:val="0"/>
          <w:numId w:val="2"/>
        </w:numPr>
        <w:spacing w:after="100"/>
      </w:pPr>
      <w:r>
        <w:rPr>
          <w:rFonts w:ascii="Calibri" w:cs="Calibri" w:eastAsia="Calibri" w:hAnsi="Calibri"/>
          <w:b/>
          <w:bCs/>
          <w:sz w:val="21"/>
          <w:szCs w:val="21"/>
        </w:rPr>
        <w:t xml:space="preserve">Enterprise (contract) — </w:t>
      </w:r>
      <w:r>
        <w:rPr>
          <w:rFonts w:ascii="Calibri" w:cs="Calibri" w:eastAsia="Calibri" w:hAnsi="Calibri"/>
          <w:sz w:val="21"/>
          <w:szCs w:val="21"/>
        </w:rPr>
        <w:t xml:space="preserve">private VPC deployment, custom SLA, dedicated support — already advertised on the homepage ("Enterprise support, SLA guarantees and private deployment available via fibtec.co.uk"). This is the highest-margin, lowest-volume line.</w:t>
      </w:r>
    </w:p>
    <w:p>
      <w:pPr>
        <w:pStyle w:val="Heading2"/>
        <w:spacing w:after="120" w:before="300"/>
      </w:pPr>
      <w:r>
        <w:rPr>
          <w:rFonts w:ascii="Calibri" w:cs="Calibri" w:eastAsia="Calibri" w:hAnsi="Calibri"/>
          <w:b/>
          <w:bCs/>
          <w:color w:val="7A3620"/>
          <w:sz w:val="24"/>
          <w:szCs w:val="24"/>
        </w:rPr>
        <w:t xml:space="preserve">2. pyvar Local — a supported offline package, not a paywall around the code</w:t>
      </w:r>
    </w:p>
    <w:p>
      <w:pPr>
        <w:spacing w:after="160" w:line="300"/>
      </w:pPr>
      <w:r>
        <w:rPr>
          <w:rFonts w:ascii="Calibri" w:cs="Calibri" w:eastAsia="Calibri" w:hAnsi="Calibri"/>
          <w:i w:val="false"/>
          <w:iCs w:val="false"/>
          <w:color w:val="1F1E1D"/>
          <w:sz w:val="21"/>
          <w:szCs w:val="21"/>
        </w:rPr>
        <w:t xml:space="preserve">Detailed separately in the accompanying local-package proposal. Because the engine is Apache-2.0-licensed, anyone can already clone the repository and run it themselves — so this line is sold honestly as convenience and assurance, not code access: a tested, pre-compiled, signed release; a regulatory validation/documentation bundle mapping each function to its Basel/FRTB clause; update delivery; and support. Subscription, billed per node or per institution.</w:t>
      </w:r>
    </w:p>
    <w:p>
      <w:pPr>
        <w:pStyle w:val="Heading2"/>
        <w:spacing w:after="120" w:before="300"/>
      </w:pPr>
      <w:r>
        <w:rPr>
          <w:rFonts w:ascii="Calibri" w:cs="Calibri" w:eastAsia="Calibri" w:hAnsi="Calibri"/>
          <w:b/>
          <w:bCs/>
          <w:color w:val="7A3620"/>
          <w:sz w:val="24"/>
          <w:szCs w:val="24"/>
        </w:rPr>
        <w:t xml:space="preserve">3. Grants &amp; sponsorship — protecting the free tier specifically</w:t>
      </w:r>
    </w:p>
    <w:p>
      <w:pPr>
        <w:spacing w:after="160" w:line="300"/>
      </w:pPr>
      <w:r>
        <w:rPr>
          <w:rFonts w:ascii="Calibri" w:cs="Calibri" w:eastAsia="Calibri" w:hAnsi="Calibri"/>
          <w:i w:val="false"/>
          <w:iCs w:val="false"/>
          <w:color w:val="1F1E1D"/>
          <w:sz w:val="21"/>
          <w:szCs w:val="21"/>
        </w:rPr>
        <w:t xml:space="preserve">Non-dilutive funding (see the accompanying grant brief) is earmarked in this model for exactly the costs that keep the free tier free: baseline infrastructure and the independent security/numerical audit. It is deliberately not counted on to fund commercial feature work — that is what the subscription tiers are for — so the free tier's survival never depends on a grant renewing.</w:t>
      </w:r>
    </w:p>
    <w:p>
      <w:pPr>
        <w:pStyle w:val="Heading2"/>
        <w:spacing w:after="120" w:before="300"/>
      </w:pPr>
      <w:r>
        <w:rPr>
          <w:rFonts w:ascii="Calibri" w:cs="Calibri" w:eastAsia="Calibri" w:hAnsi="Calibri"/>
          <w:b/>
          <w:bCs/>
          <w:color w:val="7A3620"/>
          <w:sz w:val="24"/>
          <w:szCs w:val="24"/>
        </w:rPr>
        <w:t xml:space="preserve">4. Professional services</w:t>
      </w:r>
    </w:p>
    <w:p>
      <w:pPr>
        <w:spacing w:after="160" w:line="300"/>
      </w:pPr>
      <w:r>
        <w:rPr>
          <w:rFonts w:ascii="Calibri" w:cs="Calibri" w:eastAsia="Calibri" w:hAnsi="Calibri"/>
          <w:i w:val="false"/>
          <w:iCs w:val="false"/>
          <w:color w:val="1F1E1D"/>
          <w:sz w:val="21"/>
          <w:szCs w:val="21"/>
        </w:rPr>
        <w:t xml:space="preserve">Fibtec Limited already positions itself as pyvar's commercial arm (fibtec.co.uk). Bespoke regulatory model validation and certification packages, custom domain extensions, and integration consulting for institutions adopting pyvar at scale are natural, high-margin services that fund deeper engineering work — including the security audit and new regulatory coverage the grant brief also asks for, so the two funding sources reinforce rather than compete with each other.</w:t>
      </w:r>
    </w:p>
    <w:p>
      <w:pPr>
        <w:pStyle w:val="Heading1"/>
        <w:pBdr>
          <w:bottom w:val="single" w:color="A84A2E" w:sz="8" w:space="4"/>
        </w:pBdr>
        <w:spacing w:after="200" w:before="400"/>
      </w:pPr>
      <w:r>
        <w:rPr>
          <w:rFonts w:ascii="Calibri" w:cs="Calibri" w:eastAsia="Calibri" w:hAnsi="Calibri"/>
          <w:b/>
          <w:bCs/>
          <w:color w:val="1F1E1D"/>
          <w:sz w:val="30"/>
          <w:szCs w:val="30"/>
        </w:rPr>
        <w:t xml:space="preserve">Illustrative pricing (not final)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00"/>
      </w:tblGrid>
      <w:tr>
        <w:trPr>
          <w:tblHeader/>
        </w:trPr>
        <w:tc>
          <w:tcPr>
            <w:tcW w:type="dxa" w:w="18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Tier</w:t>
            </w:r>
          </w:p>
        </w:tc>
        <w:tc>
          <w:tcPr>
            <w:tcW w:type="dxa" w:w="18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Indicative price</w:t>
            </w:r>
          </w:p>
        </w:tc>
        <w:tc>
          <w:tcPr>
            <w:tcW w:type="dxa" w:w="64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What it includes</w:t>
            </w:r>
          </w:p>
        </w:tc>
      </w:tr>
      <w:tr>
        <w:tc>
          <w:tcPr>
            <w:tcW w:type="dxa" w:w="18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Free</w:t>
            </w:r>
          </w:p>
        </w:tc>
        <w:tc>
          <w:tcPr>
            <w:tcW w:type="dxa" w:w="18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£0</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Full 385-function access, rate-limited, community support (GitHub).</w:t>
            </w:r>
          </w:p>
        </w:tc>
      </w:tr>
      <w:tr>
        <w:tc>
          <w:tcPr>
            <w:tcW w:type="dxa" w:w="18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Pro</w:t>
            </w:r>
          </w:p>
        </w:tc>
        <w:tc>
          <w:tcPr>
            <w:tcW w:type="dxa" w:w="18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£X / month</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Higher rate limits, priority queue, extended result retention, email support.</w:t>
            </w:r>
          </w:p>
        </w:tc>
      </w:tr>
      <w:tr>
        <w:tc>
          <w:tcPr>
            <w:tcW w:type="dxa" w:w="18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Enterprise</w:t>
            </w:r>
          </w:p>
        </w:tc>
        <w:tc>
          <w:tcPr>
            <w:tcW w:type="dxa" w:w="18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Custom contract</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Private VPC deployment, custom SLA, dedicated support, professional services.</w:t>
            </w:r>
          </w:p>
        </w:tc>
      </w:tr>
      <w:tr>
        <w:tc>
          <w:tcPr>
            <w:tcW w:type="dxa" w:w="18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pyvar Local</w:t>
            </w:r>
          </w:p>
        </w:tc>
        <w:tc>
          <w:tcPr>
            <w:tcW w:type="dxa" w:w="18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£X / node / year</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Signed offline package, regulatory documentation bundle, patch delivery, support.</w:t>
            </w:r>
          </w:p>
        </w:tc>
      </w:tr>
    </w:tbl>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Figures are placeholders (“£X”) deliberately — this proposal is about the shape of the model, not a committed price list. Actual pricing should follow a short willingness-to-pay conversation with early Pro-tier candidates before publishing numbers.</w:t>
      </w:r>
    </w:p>
    <w:p>
      <w:pPr>
        <w:pStyle w:val="Heading1"/>
        <w:pBdr>
          <w:bottom w:val="single" w:color="A84A2E" w:sz="8" w:space="4"/>
        </w:pBdr>
        <w:spacing w:after="200" w:before="400"/>
      </w:pPr>
      <w:r>
        <w:rPr>
          <w:rFonts w:ascii="Calibri" w:cs="Calibri" w:eastAsia="Calibri" w:hAnsi="Calibri"/>
          <w:b/>
          <w:bCs/>
          <w:color w:val="1F1E1D"/>
          <w:sz w:val="30"/>
          <w:szCs w:val="30"/>
        </w:rPr>
        <w:t xml:space="preserve">Which revenue funds which cost</w:t>
      </w:r>
    </w:p>
    <w:p>
      <w:pPr>
        <w:pStyle w:val="ListParagraph"/>
        <w:numPr>
          <w:ilvl w:val="0"/>
          <w:numId w:val="2"/>
        </w:numPr>
        <w:spacing w:after="100"/>
      </w:pPr>
      <w:r>
        <w:rPr>
          <w:rFonts w:ascii="Calibri" w:cs="Calibri" w:eastAsia="Calibri" w:hAnsi="Calibri"/>
          <w:color w:val="1F1E1D"/>
          <w:sz w:val="21"/>
          <w:szCs w:val="21"/>
        </w:rPr>
        <w:t xml:space="preserve">Pro + Enterprise subscriptions cover the bulk of the scaling infrastructure cost (compute, database, queue) — the tiers most correlated with the usage that actually drives that cost.</w:t>
      </w:r>
    </w:p>
    <w:p>
      <w:pPr>
        <w:pStyle w:val="ListParagraph"/>
        <w:numPr>
          <w:ilvl w:val="0"/>
          <w:numId w:val="2"/>
        </w:numPr>
        <w:spacing w:after="100"/>
      </w:pPr>
      <w:r>
        <w:rPr>
          <w:rFonts w:ascii="Calibri" w:cs="Calibri" w:eastAsia="Calibri" w:hAnsi="Calibri"/>
          <w:color w:val="1F1E1D"/>
          <w:sz w:val="21"/>
          <w:szCs w:val="21"/>
        </w:rPr>
        <w:t xml:space="preserve">Grant/sponsorship funding is ring-fenced for the free-tier baseline and the independent security/numerical audit — the two costs that exist regardless of paid adoption.</w:t>
      </w:r>
    </w:p>
    <w:p>
      <w:pPr>
        <w:pStyle w:val="ListParagraph"/>
        <w:numPr>
          <w:ilvl w:val="0"/>
          <w:numId w:val="2"/>
        </w:numPr>
        <w:spacing w:after="100"/>
      </w:pPr>
      <w:r>
        <w:rPr>
          <w:rFonts w:ascii="Calibri" w:cs="Calibri" w:eastAsia="Calibri" w:hAnsi="Calibri"/>
          <w:color w:val="1F1E1D"/>
          <w:sz w:val="21"/>
          <w:szCs w:val="21"/>
        </w:rPr>
        <w:t xml:space="preserve">Professional services and pyvar Local subscriptions are the highest-margin lines and are earmarked for new regulatory coverage and deeper engineering investment, the same use-of-funds categories the grant brief lists — so a successful grant application reduces, rather than duplicates, what commercial revenue has to cover.</w:t>
      </w:r>
    </w:p>
    <w:p>
      <w:pPr>
        <w:pStyle w:val="Heading1"/>
        <w:pBdr>
          <w:bottom w:val="single" w:color="A84A2E" w:sz="8" w:space="4"/>
        </w:pBdr>
        <w:spacing w:after="200" w:before="400"/>
      </w:pPr>
      <w:r>
        <w:rPr>
          <w:rFonts w:ascii="Calibri" w:cs="Calibri" w:eastAsia="Calibri" w:hAnsi="Calibri"/>
          <w:b/>
          <w:bCs/>
          <w:color w:val="1F1E1D"/>
          <w:sz w:val="30"/>
          <w:szCs w:val="30"/>
        </w:rPr>
        <w:t xml:space="preserve">Risks and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Risk</w:t>
            </w:r>
          </w:p>
        </w:tc>
        <w:tc>
          <w:tcPr>
            <w:tcW w:type="dxa" w:w="66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Mitigation</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Someone forks the Apache-2.0-licensed engine and hosts a free competing API.</w:t>
            </w:r>
          </w:p>
        </w:tc>
        <w:tc>
          <w:tcPr>
            <w:tcW w:type="dxa" w:w="66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Real, and not preventable by licensing. Mitigated by brand trust, an official supported/certified release, continuous engine improvement, and the fact that pyvar's actual moat is the maintained, audited, regulator-aligned service around the code — the same dynamic every open-core company already operates under.</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Free-tier cost outpaces paid conversion as adoption grows.</w:t>
            </w:r>
          </w:p>
        </w:tc>
        <w:tc>
          <w:tcPr>
            <w:tcW w:type="dxa" w:w="66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Tier-based rate limiting already caps marginal cost per free user; Spot/serverless infrastructure scales cost with load rather than pre-provisioned capacity; grant funding is specifically earmarked for this scenario.</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AI-agent usage via the new MCP server creates a new, less predictable usage pattern.</w:t>
            </w:r>
          </w:p>
        </w:tc>
        <w:tc>
          <w:tcPr>
            <w:tcW w:type="dxa" w:w="66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Flagged already in docs/p10-skills-and-plugin-plan.md's open questions: the existing tier system “wasn't originally sized around” many simultaneous agent sessions. Needs a deliberate rate-limit review before any broad promotion of the MCP plugin, not just left to the general tiering above.</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Enterprise sales cycle is slow relative to infrastructure cost, which is continuous.</w:t>
            </w:r>
          </w:p>
        </w:tc>
        <w:tc>
          <w:tcPr>
            <w:tcW w:type="dxa" w:w="66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Grants and Pro-tier subscriptions are the near-term bridge; Enterprise is the long-term, higher-margin anchor once the free/Pro base establishes credibility.</w:t>
            </w:r>
          </w:p>
        </w:tc>
      </w:tr>
    </w:tbl>
    <w:p>
      <w:pPr>
        <w:pStyle w:val="Heading1"/>
        <w:pBdr>
          <w:bottom w:val="single" w:color="A84A2E" w:sz="8" w:space="4"/>
        </w:pBdr>
        <w:spacing w:after="200" w:before="400"/>
      </w:pPr>
      <w:r>
        <w:rPr>
          <w:rFonts w:ascii="Calibri" w:cs="Calibri" w:eastAsia="Calibri" w:hAnsi="Calibri"/>
          <w:b/>
          <w:bCs/>
          <w:color w:val="1F1E1D"/>
          <w:sz w:val="30"/>
          <w:szCs w:val="30"/>
        </w:rPr>
        <w:t xml:space="preserve">Summary</w:t>
      </w:r>
    </w:p>
    <w:p>
      <w:pPr>
        <w:spacing w:after="160" w:line="300"/>
      </w:pPr>
      <w:r>
        <w:rPr>
          <w:rFonts w:ascii="Calibri" w:cs="Calibri" w:eastAsia="Calibri" w:hAnsi="Calibri"/>
          <w:i w:val="false"/>
          <w:iCs w:val="false"/>
          <w:color w:val="1F1E1D"/>
          <w:sz w:val="21"/>
          <w:szCs w:val="21"/>
        </w:rPr>
        <w:t xml:space="preserve">The model is deliberately layered so that no single revenue line has to carry the whole platform: usage-correlated subscriptions cover usage-correlated cost, grants protect the parts of the platform that exist purely as a public good, and professional services fund the deeper engineering investment both the grant brief and this proposal ask for. None of it requires narrowing the Apache-2.0 licence, rate-limiting the free tier below what's already public today, or gating the compute engine itself.</w:t>
      </w:r>
    </w:p>
    <w:p>
      <w:pPr>
        <w:pStyle w:val="Heading1"/>
      </w:pPr>
      <w:r>
        <w:rPr>
          <w:rFonts w:ascii="Calibri" w:hAnsi="Calibri"/>
          <w:b/>
          <w:color w:val="1F1E1D"/>
          <w:sz w:val="30"/>
        </w:rPr>
        <w:t>Cost/income scenarios: pessimistic, neutral, optimistic</w:t>
      </w:r>
    </w:p>
    <w:p>
      <w:r>
        <w:rPr>
          <w:rFonts w:ascii="Calibri" w:hAnsi="Calibri"/>
          <w:b w:val="0"/>
          <w:i w:val="0"/>
          <w:color w:val="1F1E1D"/>
          <w:sz w:val="21"/>
        </w:rPr>
        <w:t>The cost side of this model is no longer a placeholder. The fixed AWS infrastructure baseline is a real, confirmed invoice — $900–1,000/month (2026-08-31), not the pre-launch planning estimate this project quoted at first. The three scenarios below hold that real number (and a plausible range around it) fixed, and vary only the revenue side: how many Pro subscribers, Enterprise contracts, pyvar Local nodes, and professional-services engagements are actually paying.</w:t>
      </w:r>
    </w:p>
    <w:p>
      <w:r>
        <w:rPr>
          <w:rFonts w:ascii="Calibri" w:hAnsi="Calibri"/>
          <w:b w:val="0"/>
          <w:i/>
          <w:color w:val="6B6862"/>
          <w:sz w:val="19"/>
        </w:rPr>
        <w:t>Modelled in USD throughout, since the only real, confirmed cost figure is USD-denominated (the pricing table above is left in GBP as this proposal's own indicative price list — this section is a separate modelling exercise, not a currency conversion of it). Price points below are illustrative assumptions for this model only, consistent with the “not final” framing already used for the pricing table: Pro ≈ $65/month, Enterprise ≈ $25,000/year average deal (≈ $2,083/month amortised), pyvar Local ≈ $2,300/node/year (≈ $192/month per node).</w:t>
      </w:r>
    </w:p>
    <w:p>
      <w:r>
        <w:rPr>
          <w:rFonts w:ascii="Calibri" w:hAnsi="Calibri"/>
          <w:b w:val="0"/>
          <w:i w:val="0"/>
          <w:color w:val="1F1E1D"/>
          <w:sz w:val="21"/>
        </w:rPr>
        <w:t>The NLnet grant (€40,800, one-time) is deliberately excluded from all three scenarios below, for the same reason this proposal's own “Which revenue funds which cost” section already gives: non-dilutive funding is ring-fenced for the free-tier baseline and the independent audit, not counted on to fund the commercial model this section is stress-testing.</w:t>
      </w:r>
    </w:p>
    <w:tbl>
      <w:tblPr>
        <w:tblW w:type="auto" w:w="0"/>
        <w:tblLook w:firstColumn="1" w:firstRow="1" w:lastColumn="0" w:lastRow="0" w:noHBand="0" w:noVBand="1" w:val="04A0"/>
      </w:tblPr>
      <w:tblGrid>
        <w:gridCol w:w="1213"/>
        <w:gridCol w:w="1213"/>
        <w:gridCol w:w="1213"/>
        <w:gridCol w:w="1213"/>
        <w:gridCol w:w="1213"/>
        <w:gridCol w:w="1213"/>
        <w:gridCol w:w="1213"/>
        <w:gridCol w:w="1213"/>
      </w:tblGrid>
      <w:tr>
        <w:tc>
          <w:tcPr>
            <w:tcW w:type="dxa" w:w="1213"/>
          </w:tcPr>
          <w:p>
            <w:r/>
            <w:r>
              <w:rPr>
                <w:rFonts w:ascii="Calibri" w:hAnsi="Calibri"/>
                <w:b/>
                <w:color w:val="1F1E1D"/>
                <w:sz w:val="18"/>
              </w:rPr>
              <w:t>Scenario</w:t>
            </w:r>
          </w:p>
        </w:tc>
        <w:tc>
          <w:tcPr>
            <w:tcW w:type="dxa" w:w="1213"/>
          </w:tcPr>
          <w:p>
            <w:r/>
            <w:r>
              <w:rPr>
                <w:rFonts w:ascii="Calibri" w:hAnsi="Calibri"/>
                <w:b/>
                <w:color w:val="1F1E1D"/>
                <w:sz w:val="18"/>
              </w:rPr>
              <w:t>Fixed cost</w:t>
            </w:r>
          </w:p>
        </w:tc>
        <w:tc>
          <w:tcPr>
            <w:tcW w:type="dxa" w:w="1213"/>
          </w:tcPr>
          <w:p>
            <w:r/>
            <w:r>
              <w:rPr>
                <w:rFonts w:ascii="Calibri" w:hAnsi="Calibri"/>
                <w:b/>
                <w:color w:val="1F1E1D"/>
                <w:sz w:val="18"/>
              </w:rPr>
              <w:t>Pro revenue</w:t>
            </w:r>
          </w:p>
        </w:tc>
        <w:tc>
          <w:tcPr>
            <w:tcW w:type="dxa" w:w="1213"/>
          </w:tcPr>
          <w:p>
            <w:r/>
            <w:r>
              <w:rPr>
                <w:rFonts w:ascii="Calibri" w:hAnsi="Calibri"/>
                <w:b/>
                <w:color w:val="1F1E1D"/>
                <w:sz w:val="18"/>
              </w:rPr>
              <w:t>Enterprise revenue</w:t>
            </w:r>
          </w:p>
        </w:tc>
        <w:tc>
          <w:tcPr>
            <w:tcW w:type="dxa" w:w="1213"/>
          </w:tcPr>
          <w:p>
            <w:r/>
            <w:r>
              <w:rPr>
                <w:rFonts w:ascii="Calibri" w:hAnsi="Calibri"/>
                <w:b/>
                <w:color w:val="1F1E1D"/>
                <w:sz w:val="18"/>
              </w:rPr>
              <w:t>pyvar Local revenue</w:t>
            </w:r>
          </w:p>
        </w:tc>
        <w:tc>
          <w:tcPr>
            <w:tcW w:type="dxa" w:w="1213"/>
          </w:tcPr>
          <w:p>
            <w:r/>
            <w:r>
              <w:rPr>
                <w:rFonts w:ascii="Calibri" w:hAnsi="Calibri"/>
                <w:b/>
                <w:color w:val="1F1E1D"/>
                <w:sz w:val="18"/>
              </w:rPr>
              <w:t>Professional services</w:t>
            </w:r>
          </w:p>
        </w:tc>
        <w:tc>
          <w:tcPr>
            <w:tcW w:type="dxa" w:w="1213"/>
          </w:tcPr>
          <w:p>
            <w:r/>
            <w:r>
              <w:rPr>
                <w:rFonts w:ascii="Calibri" w:hAnsi="Calibri"/>
                <w:b/>
                <w:color w:val="1F1E1D"/>
                <w:sz w:val="18"/>
              </w:rPr>
              <w:t>Total revenue</w:t>
            </w:r>
          </w:p>
        </w:tc>
        <w:tc>
          <w:tcPr>
            <w:tcW w:type="dxa" w:w="1213"/>
          </w:tcPr>
          <w:p>
            <w:r/>
            <w:r>
              <w:rPr>
                <w:rFonts w:ascii="Calibri" w:hAnsi="Calibri"/>
                <w:b/>
                <w:color w:val="1F1E1D"/>
                <w:sz w:val="18"/>
              </w:rPr>
              <w:t>Net</w:t>
            </w:r>
          </w:p>
        </w:tc>
      </w:tr>
      <w:tr>
        <w:tc>
          <w:tcPr>
            <w:tcW w:type="dxa" w:w="1213"/>
          </w:tcPr>
          <w:p>
            <w:r/>
            <w:r>
              <w:rPr>
                <w:rFonts w:ascii="Calibri" w:hAnsi="Calibri"/>
                <w:b/>
                <w:color w:val="7A3620"/>
                <w:sz w:val="18"/>
              </w:rPr>
              <w:t>Pessimistic</w:t>
            </w:r>
          </w:p>
        </w:tc>
        <w:tc>
          <w:tcPr>
            <w:tcW w:type="dxa" w:w="1213"/>
          </w:tcPr>
          <w:p>
            <w:r/>
            <w:r>
              <w:rPr>
                <w:rFonts w:ascii="Calibri" w:hAnsi="Calibri"/>
                <w:b w:val="0"/>
                <w:color w:val="1F1E1D"/>
                <w:sz w:val="18"/>
              </w:rPr>
              <w:t>$1,200/mo</w:t>
            </w:r>
          </w:p>
        </w:tc>
        <w:tc>
          <w:tcPr>
            <w:tcW w:type="dxa" w:w="1213"/>
          </w:tcPr>
          <w:p>
            <w:r/>
            <w:r>
              <w:rPr>
                <w:rFonts w:ascii="Calibri" w:hAnsi="Calibri"/>
                <w:b w:val="0"/>
                <w:color w:val="1F1E1D"/>
                <w:sz w:val="18"/>
              </w:rPr>
              <w:t>5 subs → $325/mo</w:t>
            </w:r>
          </w:p>
        </w:tc>
        <w:tc>
          <w:tcPr>
            <w:tcW w:type="dxa" w:w="1213"/>
          </w:tcPr>
          <w:p>
            <w:r/>
            <w:r>
              <w:rPr>
                <w:rFonts w:ascii="Calibri" w:hAnsi="Calibri"/>
                <w:b w:val="0"/>
                <w:color w:val="1F1E1D"/>
                <w:sz w:val="18"/>
              </w:rPr>
              <w:t>0 deals → $0/mo</w:t>
            </w:r>
          </w:p>
        </w:tc>
        <w:tc>
          <w:tcPr>
            <w:tcW w:type="dxa" w:w="1213"/>
          </w:tcPr>
          <w:p>
            <w:r/>
            <w:r>
              <w:rPr>
                <w:rFonts w:ascii="Calibri" w:hAnsi="Calibri"/>
                <w:b w:val="0"/>
                <w:color w:val="1F1E1D"/>
                <w:sz w:val="18"/>
              </w:rPr>
              <w:t>0 nodes → $0/mo</w:t>
            </w:r>
          </w:p>
        </w:tc>
        <w:tc>
          <w:tcPr>
            <w:tcW w:type="dxa" w:w="1213"/>
          </w:tcPr>
          <w:p>
            <w:r/>
            <w:r>
              <w:rPr>
                <w:rFonts w:ascii="Calibri" w:hAnsi="Calibri"/>
                <w:b w:val="0"/>
                <w:color w:val="1F1E1D"/>
                <w:sz w:val="18"/>
              </w:rPr>
              <w:t>$0/mo</w:t>
            </w:r>
          </w:p>
        </w:tc>
        <w:tc>
          <w:tcPr>
            <w:tcW w:type="dxa" w:w="1213"/>
          </w:tcPr>
          <w:p>
            <w:r/>
            <w:r>
              <w:rPr>
                <w:rFonts w:ascii="Calibri" w:hAnsi="Calibri"/>
                <w:b w:val="0"/>
                <w:color w:val="1F1E1D"/>
                <w:sz w:val="18"/>
              </w:rPr>
              <w:t>$325/mo</w:t>
            </w:r>
          </w:p>
        </w:tc>
        <w:tc>
          <w:tcPr>
            <w:tcW w:type="dxa" w:w="1213"/>
          </w:tcPr>
          <w:p>
            <w:r/>
            <w:r>
              <w:rPr>
                <w:rFonts w:ascii="Calibri" w:hAnsi="Calibri"/>
                <w:b/>
                <w:color w:val="1F1E1D"/>
                <w:sz w:val="18"/>
              </w:rPr>
              <w:t>–$875/mo</w:t>
            </w:r>
          </w:p>
        </w:tc>
      </w:tr>
      <w:tr>
        <w:tc>
          <w:tcPr>
            <w:tcW w:type="dxa" w:w="1213"/>
          </w:tcPr>
          <w:p>
            <w:r/>
            <w:r>
              <w:rPr>
                <w:rFonts w:ascii="Calibri" w:hAnsi="Calibri"/>
                <w:b/>
                <w:color w:val="7A3620"/>
                <w:sz w:val="18"/>
              </w:rPr>
              <w:t>Neutral</w:t>
            </w:r>
          </w:p>
        </w:tc>
        <w:tc>
          <w:tcPr>
            <w:tcW w:type="dxa" w:w="1213"/>
          </w:tcPr>
          <w:p>
            <w:r/>
            <w:r>
              <w:rPr>
                <w:rFonts w:ascii="Calibri" w:hAnsi="Calibri"/>
                <w:b w:val="0"/>
                <w:color w:val="1F1E1D"/>
                <w:sz w:val="18"/>
              </w:rPr>
              <w:t>$950/mo</w:t>
            </w:r>
          </w:p>
        </w:tc>
        <w:tc>
          <w:tcPr>
            <w:tcW w:type="dxa" w:w="1213"/>
          </w:tcPr>
          <w:p>
            <w:r/>
            <w:r>
              <w:rPr>
                <w:rFonts w:ascii="Calibri" w:hAnsi="Calibri"/>
                <w:b w:val="0"/>
                <w:color w:val="1F1E1D"/>
                <w:sz w:val="18"/>
              </w:rPr>
              <w:t>25 subs → $1,625/mo</w:t>
            </w:r>
          </w:p>
        </w:tc>
        <w:tc>
          <w:tcPr>
            <w:tcW w:type="dxa" w:w="1213"/>
          </w:tcPr>
          <w:p>
            <w:r/>
            <w:r>
              <w:rPr>
                <w:rFonts w:ascii="Calibri" w:hAnsi="Calibri"/>
                <w:b w:val="0"/>
                <w:color w:val="1F1E1D"/>
                <w:sz w:val="18"/>
              </w:rPr>
              <w:t>1 deal → $2,083/mo</w:t>
            </w:r>
          </w:p>
        </w:tc>
        <w:tc>
          <w:tcPr>
            <w:tcW w:type="dxa" w:w="1213"/>
          </w:tcPr>
          <w:p>
            <w:r/>
            <w:r>
              <w:rPr>
                <w:rFonts w:ascii="Calibri" w:hAnsi="Calibri"/>
                <w:b w:val="0"/>
                <w:color w:val="1F1E1D"/>
                <w:sz w:val="18"/>
              </w:rPr>
              <w:t>3 nodes → $575/mo</w:t>
            </w:r>
          </w:p>
        </w:tc>
        <w:tc>
          <w:tcPr>
            <w:tcW w:type="dxa" w:w="1213"/>
          </w:tcPr>
          <w:p>
            <w:r/>
            <w:r>
              <w:rPr>
                <w:rFonts w:ascii="Calibri" w:hAnsi="Calibri"/>
                <w:b w:val="0"/>
                <w:color w:val="1F1E1D"/>
                <w:sz w:val="18"/>
              </w:rPr>
              <w:t>$1,000/mo</w:t>
            </w:r>
          </w:p>
        </w:tc>
        <w:tc>
          <w:tcPr>
            <w:tcW w:type="dxa" w:w="1213"/>
          </w:tcPr>
          <w:p>
            <w:r/>
            <w:r>
              <w:rPr>
                <w:rFonts w:ascii="Calibri" w:hAnsi="Calibri"/>
                <w:b w:val="0"/>
                <w:color w:val="1F1E1D"/>
                <w:sz w:val="18"/>
              </w:rPr>
              <w:t>$5,283/mo</w:t>
            </w:r>
          </w:p>
        </w:tc>
        <w:tc>
          <w:tcPr>
            <w:tcW w:type="dxa" w:w="1213"/>
          </w:tcPr>
          <w:p>
            <w:r/>
            <w:r>
              <w:rPr>
                <w:rFonts w:ascii="Calibri" w:hAnsi="Calibri"/>
                <w:b/>
                <w:color w:val="1F1E1D"/>
                <w:sz w:val="18"/>
              </w:rPr>
              <w:t>+$4,333/mo</w:t>
            </w:r>
          </w:p>
        </w:tc>
      </w:tr>
      <w:tr>
        <w:tc>
          <w:tcPr>
            <w:tcW w:type="dxa" w:w="1213"/>
          </w:tcPr>
          <w:p>
            <w:r/>
            <w:r>
              <w:rPr>
                <w:rFonts w:ascii="Calibri" w:hAnsi="Calibri"/>
                <w:b/>
                <w:color w:val="7A3620"/>
                <w:sz w:val="18"/>
              </w:rPr>
              <w:t>Optimistic</w:t>
            </w:r>
          </w:p>
        </w:tc>
        <w:tc>
          <w:tcPr>
            <w:tcW w:type="dxa" w:w="1213"/>
          </w:tcPr>
          <w:p>
            <w:r/>
            <w:r>
              <w:rPr>
                <w:rFonts w:ascii="Calibri" w:hAnsi="Calibri"/>
                <w:b w:val="0"/>
                <w:color w:val="1F1E1D"/>
                <w:sz w:val="18"/>
              </w:rPr>
              <w:t>$850/mo</w:t>
            </w:r>
          </w:p>
        </w:tc>
        <w:tc>
          <w:tcPr>
            <w:tcW w:type="dxa" w:w="1213"/>
          </w:tcPr>
          <w:p>
            <w:r/>
            <w:r>
              <w:rPr>
                <w:rFonts w:ascii="Calibri" w:hAnsi="Calibri"/>
                <w:b w:val="0"/>
                <w:color w:val="1F1E1D"/>
                <w:sz w:val="18"/>
              </w:rPr>
              <w:t>80 subs → $5,200/mo</w:t>
            </w:r>
          </w:p>
        </w:tc>
        <w:tc>
          <w:tcPr>
            <w:tcW w:type="dxa" w:w="1213"/>
          </w:tcPr>
          <w:p>
            <w:r/>
            <w:r>
              <w:rPr>
                <w:rFonts w:ascii="Calibri" w:hAnsi="Calibri"/>
                <w:b w:val="0"/>
                <w:color w:val="1F1E1D"/>
                <w:sz w:val="18"/>
              </w:rPr>
              <w:t>3 deals → $6,250/mo</w:t>
            </w:r>
          </w:p>
        </w:tc>
        <w:tc>
          <w:tcPr>
            <w:tcW w:type="dxa" w:w="1213"/>
          </w:tcPr>
          <w:p>
            <w:r/>
            <w:r>
              <w:rPr>
                <w:rFonts w:ascii="Calibri" w:hAnsi="Calibri"/>
                <w:b w:val="0"/>
                <w:color w:val="1F1E1D"/>
                <w:sz w:val="18"/>
              </w:rPr>
              <w:t>15 nodes → $2,875/mo</w:t>
            </w:r>
          </w:p>
        </w:tc>
        <w:tc>
          <w:tcPr>
            <w:tcW w:type="dxa" w:w="1213"/>
          </w:tcPr>
          <w:p>
            <w:r/>
            <w:r>
              <w:rPr>
                <w:rFonts w:ascii="Calibri" w:hAnsi="Calibri"/>
                <w:b w:val="0"/>
                <w:color w:val="1F1E1D"/>
                <w:sz w:val="18"/>
              </w:rPr>
              <w:t>$4,000/mo</w:t>
            </w:r>
          </w:p>
        </w:tc>
        <w:tc>
          <w:tcPr>
            <w:tcW w:type="dxa" w:w="1213"/>
          </w:tcPr>
          <w:p>
            <w:r/>
            <w:r>
              <w:rPr>
                <w:rFonts w:ascii="Calibri" w:hAnsi="Calibri"/>
                <w:b w:val="0"/>
                <w:color w:val="1F1E1D"/>
                <w:sz w:val="18"/>
              </w:rPr>
              <w:t>$18,325/mo</w:t>
            </w:r>
          </w:p>
        </w:tc>
        <w:tc>
          <w:tcPr>
            <w:tcW w:type="dxa" w:w="1213"/>
          </w:tcPr>
          <w:p>
            <w:r/>
            <w:r>
              <w:rPr>
                <w:rFonts w:ascii="Calibri" w:hAnsi="Calibri"/>
                <w:b/>
                <w:color w:val="1F1E1D"/>
                <w:sz w:val="18"/>
              </w:rPr>
              <w:t>+$17,475/mo</w:t>
            </w:r>
          </w:p>
        </w:tc>
      </w:tr>
    </w:tbl>
    <w:p>
      <w:pPr>
        <w:pStyle w:val="Heading2"/>
      </w:pPr>
      <w:r>
        <w:rPr>
          <w:rFonts w:ascii="Calibri" w:hAnsi="Calibri"/>
          <w:b/>
          <w:color w:val="7A3620"/>
          <w:sz w:val="24"/>
        </w:rPr>
        <w:t>Pessimistic: fixed cost creeps up, paid conversion stays thin</w:t>
      </w:r>
    </w:p>
    <w:p>
      <w:r>
        <w:rPr>
          <w:rFonts w:ascii="Calibri" w:hAnsi="Calibri"/>
          <w:b w:val="0"/>
          <w:i w:val="0"/>
          <w:color w:val="1F1E1D"/>
          <w:sz w:val="21"/>
        </w:rPr>
        <w:t>Fixed cost at $1,200/month reflects the cost-creep risk this proposal's own risk table already flags as real and not fully resolved — ElastiCache and Aurora scaling behaviour at genuine production traffic, one of the audit's own honestly-flagged open gaps (docs/p9-scenario-volume-cost-audit.md). With only 5 Pro subscribers and no Enterprise or pyvar Local revenue yet, the platform runs at a $875/month deficit — the scenario in which grant and sponsorship funding, explicitly ring-fenced for exactly this baseline, is doing all of the load-bearing work.</w:t>
      </w:r>
    </w:p>
    <w:p>
      <w:pPr>
        <w:pStyle w:val="Heading2"/>
      </w:pPr>
      <w:r>
        <w:rPr>
          <w:rFonts w:ascii="Calibri" w:hAnsi="Calibri"/>
          <w:b/>
          <w:color w:val="7A3620"/>
          <w:sz w:val="24"/>
        </w:rPr>
        <w:t>Neutral: fixed cost matches the real invoice, revenue is modestly diversified</w:t>
      </w:r>
    </w:p>
    <w:p>
      <w:r>
        <w:rPr>
          <w:rFonts w:ascii="Calibri" w:hAnsi="Calibri"/>
          <w:b w:val="0"/>
          <w:i w:val="0"/>
          <w:color w:val="1F1E1D"/>
          <w:sz w:val="21"/>
        </w:rPr>
        <w:t>Fixed cost at $950/month sits inside the confirmed $900–1,000/month range. Revenue is spread across all four paid lines — 25 Pro subscribers, one Enterprise contract, three pyvar Local nodes, and a single professional-services engagement — rather than concentrated in one. That mix alone clears the fixed cost with room to spare: a $4,333/month surplus, which is the scenario this proposal's “Which revenue funds which cost” layering was designed to produce once paid adoption exists at all, not a best case.</w:t>
      </w:r>
    </w:p>
    <w:p>
      <w:pPr>
        <w:pStyle w:val="Heading2"/>
      </w:pPr>
      <w:r>
        <w:rPr>
          <w:rFonts w:ascii="Calibri" w:hAnsi="Calibri"/>
          <w:b/>
          <w:color w:val="7A3620"/>
          <w:sz w:val="24"/>
        </w:rPr>
        <w:t>Optimistic: paid adoption scales, fixed cost improves with it</w:t>
      </w:r>
    </w:p>
    <w:p>
      <w:r>
        <w:rPr>
          <w:rFonts w:ascii="Calibri" w:hAnsi="Calibri"/>
          <w:b w:val="0"/>
          <w:i w:val="0"/>
          <w:color w:val="1F1E1D"/>
          <w:sz w:val="21"/>
        </w:rPr>
        <w:t>Fixed cost drops slightly to $850/month, reflecting the reserved-capacity and rightsizing efficiencies available once traffic is high enough to commit to rather than pay on-demand for — the same usage-correlated-cost discipline the technology-stack choices in docs/publications/pyvar-iron-triangle-medium-article.md are built around. At 80 Pro subscribers, three Enterprise contracts, 15 pyvar Local nodes, and $4,000/month of professional services, the platform runs a $17,475/month surplus — comfortably funding the deeper engineering investment this proposal and the grant brief both point toward, without narrowing the free tier or the Apache-2.0 licence to get there.</w:t>
      </w:r>
    </w:p>
    <w:p>
      <w:r>
        <w:rPr>
          <w:rFonts w:ascii="Calibri" w:hAnsi="Calibri"/>
          <w:b w:val="0"/>
          <w:i w:val="0"/>
          <w:color w:val="1F1E1D"/>
          <w:sz w:val="21"/>
        </w:rPr>
        <w:t>None of the three scenarios assumes the free tier becomes more restrictive, the Apache-2.0 licence narrows, or the compute engine itself is gated — consistent with this proposal's own closing position. What changes between pessimistic and optimistic is entirely how much of the addressable Pro/Enterprise/pyvar Local/professional-services demand actually converts, not the cost structure underneath it, which the real invoice now pins down rather than estimates.</w:t>
      </w:r>
    </w:p>
    <w:p>
      <w:pPr>
        <w:pStyle w:val="Heading1"/>
      </w:pPr>
      <w:r>
        <w:rPr>
          <w:rFonts w:ascii="Calibri" w:hAnsi="Calibri"/>
          <w:b/>
          <w:color w:val="1F1E1D"/>
          <w:sz w:val="30"/>
        </w:rPr>
        <w:t>Pro subscription price list</w:t>
      </w:r>
    </w:p>
    <w:p>
      <w:r>
        <w:rPr>
          <w:rFonts w:ascii="Calibri" w:hAnsi="Calibri"/>
          <w:b w:val="0"/>
          <w:i w:val="0"/>
          <w:color w:val="1F1E1D"/>
          <w:sz w:val="21"/>
        </w:rPr>
        <w:t>Standalone companion to the scenario model above, which uses an illustrative $65/month Pro figure “for modelling purposes only, not a commitment.” This section does the opposite: it proposes an actual price, checked against the real tier limits already enforced in the shipped billing code (api/middleware/auth.py, rate_limit.py, config.py), not a placeholder. Currency is USD throughout, for the same reason given above — the only real, confirmed cost figure (the $900–1,000/month invoice) is USD-denominated. Needs Filippo's review before any Stripe Price object is actually created (config.py's stripe_price_id_pro is still unset).</w:t>
      </w:r>
    </w:p>
    <w:p>
      <w:r>
        <w:rPr>
          <w:rFonts w:ascii="Calibri" w:hAnsi="Calibri"/>
          <w:b/>
          <w:color w:val="7A3620"/>
          <w:sz w:val="24"/>
        </w:rPr>
        <w:t>The tiers being priced are already real, not proposed</w:t>
      </w:r>
    </w:p>
    <w:p>
      <w:r>
        <w:rPr>
          <w:rFonts w:ascii="Calibri" w:hAnsi="Calibri"/>
          <w:b w:val="0"/>
          <w:i w:val="0"/>
          <w:color w:val="1F1E1D"/>
          <w:sz w:val="21"/>
        </w:rPr>
        <w:t>Three tiers exist today, live in the billing code, not hypothetical:</w:t>
      </w:r>
    </w:p>
    <w:tbl>
      <w:tblPr>
        <w:tblW w:type="auto" w:w="0"/>
        <w:tblLook w:firstColumn="1" w:firstRow="1" w:lastColumn="0" w:lastRow="0" w:noHBand="0" w:noVBand="1" w:val="04A0"/>
      </w:tblPr>
      <w:tblGrid>
        <w:gridCol w:w="1941"/>
        <w:gridCol w:w="1941"/>
        <w:gridCol w:w="1941"/>
        <w:gridCol w:w="1941"/>
        <w:gridCol w:w="1941"/>
      </w:tblGrid>
      <w:tr>
        <w:tc>
          <w:tcPr>
            <w:tcW w:type="dxa" w:w="1941"/>
          </w:tcPr>
          <w:p>
            <w:r/>
            <w:r>
              <w:rPr>
                <w:rFonts w:ascii="Calibri" w:hAnsi="Calibri"/>
                <w:b/>
                <w:color w:val="1F1E1D"/>
                <w:sz w:val="18"/>
              </w:rPr>
              <w:t>Tier</w:t>
            </w:r>
          </w:p>
        </w:tc>
        <w:tc>
          <w:tcPr>
            <w:tcW w:type="dxa" w:w="1941"/>
          </w:tcPr>
          <w:p>
            <w:r/>
            <w:r>
              <w:rPr>
                <w:rFonts w:ascii="Calibri" w:hAnsi="Calibri"/>
                <w:b/>
                <w:color w:val="1F1E1D"/>
                <w:sz w:val="18"/>
              </w:rPr>
              <w:t>Max simulations/request</w:t>
            </w:r>
          </w:p>
        </w:tc>
        <w:tc>
          <w:tcPr>
            <w:tcW w:type="dxa" w:w="1941"/>
          </w:tcPr>
          <w:p>
            <w:r/>
            <w:r>
              <w:rPr>
                <w:rFonts w:ascii="Calibri" w:hAnsi="Calibri"/>
                <w:b/>
                <w:color w:val="1F1E1D"/>
                <w:sz w:val="18"/>
              </w:rPr>
              <w:t>Daily request cap</w:t>
            </w:r>
          </w:p>
        </w:tc>
        <w:tc>
          <w:tcPr>
            <w:tcW w:type="dxa" w:w="1941"/>
          </w:tcPr>
          <w:p>
            <w:r/>
            <w:r>
              <w:rPr>
                <w:rFonts w:ascii="Calibri" w:hAnsi="Calibri"/>
                <w:b/>
                <w:color w:val="1F1E1D"/>
                <w:sz w:val="18"/>
              </w:rPr>
              <w:t>Monthly request cap</w:t>
            </w:r>
          </w:p>
        </w:tc>
        <w:tc>
          <w:tcPr>
            <w:tcW w:type="dxa" w:w="1941"/>
          </w:tcPr>
          <w:p>
            <w:r/>
            <w:r>
              <w:rPr>
                <w:rFonts w:ascii="Calibri" w:hAnsi="Calibri"/>
                <w:b/>
                <w:color w:val="1F1E1D"/>
                <w:sz w:val="18"/>
              </w:rPr>
              <w:t>Monthly simulation cap</w:t>
            </w:r>
          </w:p>
        </w:tc>
      </w:tr>
      <w:tr>
        <w:tc>
          <w:tcPr>
            <w:tcW w:type="dxa" w:w="1941"/>
          </w:tcPr>
          <w:p>
            <w:r/>
            <w:r>
              <w:rPr>
                <w:rFonts w:ascii="Calibri" w:hAnsi="Calibri"/>
                <w:b/>
                <w:color w:val="7A3620"/>
                <w:sz w:val="18"/>
              </w:rPr>
              <w:t>Free</w:t>
            </w:r>
          </w:p>
        </w:tc>
        <w:tc>
          <w:tcPr>
            <w:tcW w:type="dxa" w:w="1941"/>
          </w:tcPr>
          <w:p>
            <w:r/>
            <w:r>
              <w:rPr>
                <w:rFonts w:ascii="Calibri" w:hAnsi="Calibri"/>
                <w:b w:val="0"/>
                <w:color w:val="1F1E1D"/>
                <w:sz w:val="18"/>
              </w:rPr>
              <w:t>10,000</w:t>
            </w:r>
          </w:p>
        </w:tc>
        <w:tc>
          <w:tcPr>
            <w:tcW w:type="dxa" w:w="1941"/>
          </w:tcPr>
          <w:p>
            <w:r/>
            <w:r>
              <w:rPr>
                <w:rFonts w:ascii="Calibri" w:hAnsi="Calibri"/>
                <w:b w:val="0"/>
                <w:color w:val="1F1E1D"/>
                <w:sz w:val="18"/>
              </w:rPr>
              <w:t>10/day</w:t>
            </w:r>
          </w:p>
        </w:tc>
        <w:tc>
          <w:tcPr>
            <w:tcW w:type="dxa" w:w="1941"/>
          </w:tcPr>
          <w:p>
            <w:r/>
            <w:r>
              <w:rPr>
                <w:rFonts w:ascii="Calibri" w:hAnsi="Calibri"/>
                <w:b w:val="0"/>
                <w:color w:val="1F1E1D"/>
                <w:sz w:val="18"/>
              </w:rPr>
              <w:t>—</w:t>
            </w:r>
          </w:p>
        </w:tc>
        <w:tc>
          <w:tcPr>
            <w:tcW w:type="dxa" w:w="1941"/>
          </w:tcPr>
          <w:p>
            <w:r/>
            <w:r>
              <w:rPr>
                <w:rFonts w:ascii="Calibri" w:hAnsi="Calibri"/>
                <w:b w:val="0"/>
                <w:color w:val="1F1E1D"/>
                <w:sz w:val="18"/>
              </w:rPr>
              <w:t>—</w:t>
            </w:r>
          </w:p>
        </w:tc>
      </w:tr>
      <w:tr>
        <w:tc>
          <w:tcPr>
            <w:tcW w:type="dxa" w:w="1941"/>
          </w:tcPr>
          <w:p>
            <w:r/>
            <w:r>
              <w:rPr>
                <w:rFonts w:ascii="Calibri" w:hAnsi="Calibri"/>
                <w:b/>
                <w:color w:val="7A3620"/>
                <w:sz w:val="18"/>
              </w:rPr>
              <w:t>Pro</w:t>
            </w:r>
          </w:p>
        </w:tc>
        <w:tc>
          <w:tcPr>
            <w:tcW w:type="dxa" w:w="1941"/>
          </w:tcPr>
          <w:p>
            <w:r/>
            <w:r>
              <w:rPr>
                <w:rFonts w:ascii="Calibri" w:hAnsi="Calibri"/>
                <w:b w:val="0"/>
                <w:color w:val="1F1E1D"/>
                <w:sz w:val="18"/>
              </w:rPr>
              <w:t>100,000</w:t>
            </w:r>
          </w:p>
        </w:tc>
        <w:tc>
          <w:tcPr>
            <w:tcW w:type="dxa" w:w="1941"/>
          </w:tcPr>
          <w:p>
            <w:r/>
            <w:r>
              <w:rPr>
                <w:rFonts w:ascii="Calibri" w:hAnsi="Calibri"/>
                <w:b w:val="0"/>
                <w:color w:val="1F1E1D"/>
                <w:sz w:val="18"/>
              </w:rPr>
              <w:t>500/day</w:t>
            </w:r>
          </w:p>
        </w:tc>
        <w:tc>
          <w:tcPr>
            <w:tcW w:type="dxa" w:w="1941"/>
          </w:tcPr>
          <w:p>
            <w:r/>
            <w:r>
              <w:rPr>
                <w:rFonts w:ascii="Calibri" w:hAnsi="Calibri"/>
                <w:b w:val="0"/>
                <w:color w:val="1F1E1D"/>
                <w:sz w:val="18"/>
              </w:rPr>
              <w:t>5,000/month</w:t>
            </w:r>
          </w:p>
        </w:tc>
        <w:tc>
          <w:tcPr>
            <w:tcW w:type="dxa" w:w="1941"/>
          </w:tcPr>
          <w:p>
            <w:r/>
            <w:r>
              <w:rPr>
                <w:rFonts w:ascii="Calibri" w:hAnsi="Calibri"/>
                <w:b w:val="0"/>
                <w:color w:val="1F1E1D"/>
                <w:sz w:val="18"/>
              </w:rPr>
              <w:t>2,000,000/month</w:t>
            </w:r>
          </w:p>
        </w:tc>
      </w:tr>
      <w:tr>
        <w:tc>
          <w:tcPr>
            <w:tcW w:type="dxa" w:w="1941"/>
          </w:tcPr>
          <w:p>
            <w:r/>
            <w:r>
              <w:rPr>
                <w:rFonts w:ascii="Calibri" w:hAnsi="Calibri"/>
                <w:b/>
                <w:color w:val="7A3620"/>
                <w:sz w:val="18"/>
              </w:rPr>
              <w:t>Enterprise</w:t>
            </w:r>
          </w:p>
        </w:tc>
        <w:tc>
          <w:tcPr>
            <w:tcW w:type="dxa" w:w="1941"/>
          </w:tcPr>
          <w:p>
            <w:r/>
            <w:r>
              <w:rPr>
                <w:rFonts w:ascii="Calibri" w:hAnsi="Calibri"/>
                <w:b w:val="0"/>
                <w:color w:val="1F1E1D"/>
                <w:sz w:val="18"/>
              </w:rPr>
              <w:t>500,000</w:t>
            </w:r>
          </w:p>
        </w:tc>
        <w:tc>
          <w:tcPr>
            <w:tcW w:type="dxa" w:w="1941"/>
          </w:tcPr>
          <w:p>
            <w:r/>
            <w:r>
              <w:rPr>
                <w:rFonts w:ascii="Calibri" w:hAnsi="Calibri"/>
                <w:b w:val="0"/>
                <w:color w:val="1F1E1D"/>
                <w:sz w:val="18"/>
              </w:rPr>
              <w:t>unlimited</w:t>
            </w:r>
          </w:p>
        </w:tc>
        <w:tc>
          <w:tcPr>
            <w:tcW w:type="dxa" w:w="1941"/>
          </w:tcPr>
          <w:p>
            <w:r/>
            <w:r>
              <w:rPr>
                <w:rFonts w:ascii="Calibri" w:hAnsi="Calibri"/>
                <w:b w:val="0"/>
                <w:color w:val="1F1E1D"/>
                <w:sz w:val="18"/>
              </w:rPr>
              <w:t>unlimited</w:t>
            </w:r>
          </w:p>
        </w:tc>
        <w:tc>
          <w:tcPr>
            <w:tcW w:type="dxa" w:w="1941"/>
          </w:tcPr>
          <w:p>
            <w:r/>
            <w:r>
              <w:rPr>
                <w:rFonts w:ascii="Calibri" w:hAnsi="Calibri"/>
                <w:b w:val="0"/>
                <w:color w:val="1F1E1D"/>
                <w:sz w:val="18"/>
              </w:rPr>
              <w:t>unlimited</w:t>
            </w:r>
          </w:p>
        </w:tc>
      </w:tr>
    </w:tbl>
    <w:p>
      <w:r>
        <w:rPr>
          <w:rFonts w:ascii="Calibri" w:hAnsi="Calibri"/>
          <w:b w:val="0"/>
          <w:i w:val="0"/>
          <w:color w:val="1F1E1D"/>
          <w:sz w:val="21"/>
        </w:rPr>
        <w:t>Source: TokenPayload.max_simulations and rate_limit_free_daily / rate_limit_pro_daily / rate_limit_pro_monthly_requests / rate_limit_pro_monthly_simulations (config.py, api/middleware/auth.py, api/middleware/rate_limit.py). A Pro account that exceeds either monthly cap is hard-downgraded to Free for the rest of the billing period, not charged overage — an explicit, already-shipped decision, not something this section proposes changing.</w:t>
      </w:r>
    </w:p>
    <w:p>
      <w:r>
        <w:rPr>
          <w:rFonts w:ascii="Calibri" w:hAnsi="Calibri"/>
          <w:b w:val="0"/>
          <w:i w:val="0"/>
          <w:color w:val="1F1E1D"/>
          <w:sz w:val="21"/>
        </w:rPr>
        <w:t>This means “tiered by usage” isn’t a pricing-strategy choice being made here — the usage tiers already exist in the enforcement code. What's missing is a price attached to the middle one.</w:t>
      </w:r>
    </w:p>
    <w:p>
      <w:r>
        <w:rPr>
          <w:rFonts w:ascii="Calibri" w:hAnsi="Calibri"/>
          <w:b/>
          <w:color w:val="7A3620"/>
          <w:sz w:val="24"/>
        </w:rPr>
        <w:t>What the tiers actually cost pyvar to run</w:t>
      </w:r>
    </w:p>
    <w:p>
      <w:pPr>
        <w:pStyle w:val="ListParagraph"/>
        <w:ind w:left="360"/>
      </w:pPr>
      <w:r>
        <w:rPr>
          <w:rFonts w:ascii="Calibri" w:hAnsi="Calibri"/>
          <w:b w:val="0"/>
          <w:color w:val="1F1E1D"/>
          <w:sz w:val="21"/>
        </w:rPr>
        <w:t xml:space="preserve">•  </w:t>
      </w:r>
      <w:r>
        <w:rPr>
          <w:rFonts w:ascii="Calibri" w:hAnsi="Calibri"/>
          <w:b/>
          <w:color w:val="1F1E1D"/>
          <w:sz w:val="21"/>
        </w:rPr>
        <w:t>Fixed infrastructure baseline: $900–1,000/month</w:t>
      </w:r>
      <w:r>
        <w:rPr>
          <w:rFonts w:ascii="Calibri" w:hAnsi="Calibri"/>
          <w:b w:val="0"/>
          <w:color w:val="1F1E1D"/>
          <w:sz w:val="21"/>
        </w:rPr>
        <w:t>, a real, confirmed AWS invoice (2026-08-31) — dominated by VPC endpoints, NAT Gateway, ElastiCache, and Aurora/Fargate floors, not by job volume.</w:t>
      </w:r>
    </w:p>
    <w:p>
      <w:pPr>
        <w:pStyle w:val="ListParagraph"/>
        <w:ind w:left="360"/>
      </w:pPr>
      <w:r>
        <w:rPr>
          <w:rFonts w:ascii="Calibri" w:hAnsi="Calibri"/>
          <w:b w:val="0"/>
          <w:color w:val="1F1E1D"/>
          <w:sz w:val="21"/>
        </w:rPr>
        <w:t xml:space="preserve">•  </w:t>
      </w:r>
      <w:r>
        <w:rPr>
          <w:rFonts w:ascii="Calibri" w:hAnsi="Calibri"/>
          <w:b/>
          <w:color w:val="1F1E1D"/>
          <w:sz w:val="21"/>
        </w:rPr>
        <w:t>Marginal compute cost: well under $0.12/month even at 1,000,000 Monte Carlo scenarios</w:t>
      </w:r>
      <w:r>
        <w:rPr>
          <w:rFonts w:ascii="Calibri" w:hAnsi="Calibri"/>
          <w:b w:val="0"/>
          <w:color w:val="1F1E1D"/>
          <w:sz w:val="21"/>
        </w:rPr>
        <w:t xml:space="preserve"> — two independent benchmarks confirm this is sub-cent per scenario, and the fixed baseline is effectively flat across 10,000 to 1,000,000 scenarios/month.</w:t>
      </w:r>
    </w:p>
    <w:p>
      <w:r>
        <w:rPr>
          <w:rFonts w:ascii="Calibri" w:hAnsi="Calibri"/>
          <w:b w:val="0"/>
          <w:i w:val="0"/>
          <w:color w:val="1F1E1D"/>
          <w:sz w:val="21"/>
        </w:rPr>
        <w:t>The practical consequence for pricing: Pro's 2,000,000-simulation monthly cap costs pyvar approximately nothing in incremental compute. The entire cost question is “how many Pro subscribers does it take to cover the fixed floor,” not “what does each simulation cost” — the same conclusion the scenario model above already reaches, restated here as the actual basis for the number below rather than an aside.</w:t>
      </w:r>
    </w:p>
    <w:p>
      <w:r>
        <w:rPr>
          <w:rFonts w:ascii="Calibri" w:hAnsi="Calibri"/>
          <w:b/>
          <w:color w:val="7A3620"/>
          <w:sz w:val="24"/>
        </w:rPr>
        <w:t>The proposed price: $65/month</w:t>
      </w:r>
    </w:p>
    <w:p>
      <w:r>
        <w:rPr>
          <w:rFonts w:ascii="Calibri" w:hAnsi="Calibri"/>
          <w:b w:val="0"/>
          <w:i w:val="0"/>
          <w:color w:val="1F1E1D"/>
          <w:sz w:val="21"/>
        </w:rPr>
        <w:t>This confirms, rather than revises, the figure the scenario model above already uses — deliberately, so the two sections of this document don't quietly disagree with each other. The reasoning, independent of that precedent:</w:t>
      </w:r>
    </w:p>
    <w:p>
      <w:pPr>
        <w:pStyle w:val="ListParagraph"/>
        <w:ind w:left="360"/>
      </w:pPr>
      <w:r>
        <w:rPr>
          <w:rFonts w:ascii="Calibri" w:hAnsi="Calibri"/>
          <w:b w:val="0"/>
          <w:color w:val="1F1E1D"/>
          <w:sz w:val="21"/>
        </w:rPr>
        <w:t xml:space="preserve">•  </w:t>
      </w:r>
      <w:r>
        <w:rPr>
          <w:rFonts w:ascii="Calibri" w:hAnsi="Calibri"/>
          <w:b/>
          <w:color w:val="1F1E1D"/>
          <w:sz w:val="21"/>
        </w:rPr>
        <w:t>Coverage math.</w:t>
      </w:r>
      <w:r>
        <w:rPr>
          <w:rFonts w:ascii="Calibri" w:hAnsi="Calibri"/>
          <w:b w:val="0"/>
          <w:color w:val="1F1E1D"/>
          <w:sz w:val="21"/>
        </w:rPr>
        <w:t xml:space="preserve"> At $65/month, 14 Pro subscribers ($910) cover the low end of the real $900–1,000/month fixed-cost range, and 16 ($1,040) cover the top — Pro subscriptions alone, with no Enterprise deal or grant funding, close the entire fixed-cost gap at roughly 14–16 subscribers. The Neutral scenario above (25 Pro subscribers, one Enterprise deal, three pyvar Local nodes, one professional-services engagement) already clears fixed cost with a $4,333/month surplus at this price — this isn't a number chosen in isolation from that model, it's the same number checked against it.</w:t>
      </w:r>
    </w:p>
    <w:p>
      <w:pPr>
        <w:pStyle w:val="ListParagraph"/>
        <w:ind w:left="360"/>
      </w:pPr>
      <w:r>
        <w:rPr>
          <w:rFonts w:ascii="Calibri" w:hAnsi="Calibri"/>
          <w:b w:val="0"/>
          <w:color w:val="1F1E1D"/>
          <w:sz w:val="21"/>
        </w:rPr>
        <w:t xml:space="preserve">•  </w:t>
      </w:r>
      <w:r>
        <w:rPr>
          <w:rFonts w:ascii="Calibri" w:hAnsi="Calibri"/>
          <w:b/>
          <w:color w:val="1F1E1D"/>
          <w:sz w:val="21"/>
        </w:rPr>
        <w:t>What $65/month actually buys, concretely, not just “higher limits”:</w:t>
      </w:r>
      <w:r>
        <w:rPr>
          <w:rFonts w:ascii="Calibri" w:hAnsi="Calibri"/>
          <w:b w:val="0"/>
          <w:color w:val="1F1E1D"/>
          <w:sz w:val="21"/>
        </w:rPr>
        <w:t xml:space="preserve"> 10x Free's per-request simulation ceiling (100,000 vs. 10,000), 50x Free's daily request cap (500 vs. 10/day), and a real monthly ceiling (5,000 requests, 2,000,000 simulations) Free doesn't have at all because Free's own daily cap already bounds it tightly enough not to need one.</w:t>
      </w:r>
    </w:p>
    <w:p>
      <w:pPr>
        <w:pStyle w:val="ListParagraph"/>
        <w:ind w:left="360"/>
      </w:pPr>
      <w:r>
        <w:rPr>
          <w:rFonts w:ascii="Calibri" w:hAnsi="Calibri"/>
          <w:b w:val="0"/>
          <w:color w:val="1F1E1D"/>
          <w:sz w:val="21"/>
        </w:rPr>
        <w:t xml:space="preserve">•  </w:t>
      </w:r>
      <w:r>
        <w:rPr>
          <w:rFonts w:ascii="Calibri" w:hAnsi="Calibri"/>
          <w:b/>
          <w:color w:val="1F1E1D"/>
          <w:sz w:val="21"/>
        </w:rPr>
        <w:t>Margin at this price is not thin.</w:t>
      </w:r>
      <w:r>
        <w:rPr>
          <w:rFonts w:ascii="Calibri" w:hAnsi="Calibri"/>
          <w:b w:val="0"/>
          <w:color w:val="1F1E1D"/>
          <w:sz w:val="21"/>
        </w:rPr>
        <w:t xml:space="preserve"> Since marginal compute cost per subscriber is sub-cent-scale even at the monthly cap, $65/month is overwhelmingly margin once fixed-cost coverage is met by other subscribers — the real constraint on Pro pricing is what the market will pay, not what serving a Pro account costs.</w:t>
      </w:r>
    </w:p>
    <w:p>
      <w:pPr>
        <w:pStyle w:val="ListParagraph"/>
        <w:ind w:left="360"/>
      </w:pPr>
      <w:r>
        <w:rPr>
          <w:rFonts w:ascii="Calibri" w:hAnsi="Calibri"/>
          <w:b w:val="0"/>
          <w:color w:val="1F1E1D"/>
          <w:sz w:val="21"/>
        </w:rPr>
        <w:t xml:space="preserve">•  </w:t>
      </w:r>
      <w:r>
        <w:rPr>
          <w:rFonts w:ascii="Calibri" w:hAnsi="Calibri"/>
          <w:b/>
          <w:color w:val="1F1E1D"/>
          <w:sz w:val="21"/>
        </w:rPr>
        <w:t>No annual option, deliberately, for now.</w:t>
      </w:r>
      <w:r>
        <w:rPr>
          <w:rFonts w:ascii="Calibri" w:hAnsi="Calibri"/>
          <w:b w:val="0"/>
          <w:color w:val="1F1E1D"/>
          <w:sz w:val="21"/>
        </w:rPr>
        <w:t xml:space="preserve"> The existing Stripe integration is monthly-only, no trial — an explicit Phase A decision, not an oversight this section is silently working around. An annual price (e.g. a two-months-free equivalent) is a reasonable Phase B addition, flagged here as future scope, not priced or committed to now.</w:t>
      </w:r>
    </w:p>
    <w:p>
      <w:r>
        <w:rPr>
          <w:rFonts w:ascii="Calibri" w:hAnsi="Calibri"/>
          <w:b/>
          <w:color w:val="7A3620"/>
          <w:sz w:val="24"/>
        </w:rPr>
        <w:t>Free and Enterprise, for completeness</w:t>
      </w:r>
    </w:p>
    <w:p>
      <w:pPr>
        <w:pStyle w:val="ListParagraph"/>
        <w:ind w:left="360"/>
      </w:pPr>
      <w:r>
        <w:rPr>
          <w:rFonts w:ascii="Calibri" w:hAnsi="Calibri"/>
          <w:b w:val="0"/>
          <w:color w:val="1F1E1D"/>
          <w:sz w:val="21"/>
        </w:rPr>
        <w:t xml:space="preserve">•  </w:t>
      </w:r>
      <w:r>
        <w:rPr>
          <w:rFonts w:ascii="Calibri" w:hAnsi="Calibri"/>
          <w:b/>
          <w:color w:val="1F1E1D"/>
          <w:sz w:val="21"/>
        </w:rPr>
        <w:t>Free: $0/month, unchanged, no card required.</w:t>
      </w:r>
      <w:r>
        <w:rPr>
          <w:rFonts w:ascii="Calibri" w:hAnsi="Calibri"/>
          <w:b w:val="0"/>
          <w:color w:val="1F1E1D"/>
          <w:sz w:val="21"/>
        </w:rPr>
        <w:t xml:space="preserve"> 10 requests/day across all 385 functions is enough to evaluate the API but not to run a real workflow against it — the free tier is explicitly a full-access trial surface, not a crippled one (every function is available, just rate-limited).</w:t>
      </w:r>
    </w:p>
    <w:p>
      <w:pPr>
        <w:pStyle w:val="ListParagraph"/>
        <w:ind w:left="360"/>
      </w:pPr>
      <w:r>
        <w:rPr>
          <w:rFonts w:ascii="Calibri" w:hAnsi="Calibri"/>
          <w:b w:val="0"/>
          <w:color w:val="1F1E1D"/>
          <w:sz w:val="21"/>
        </w:rPr>
        <w:t xml:space="preserve">•  </w:t>
      </w:r>
      <w:r>
        <w:rPr>
          <w:rFonts w:ascii="Calibri" w:hAnsi="Calibri"/>
          <w:b/>
          <w:color w:val="1F1E1D"/>
          <w:sz w:val="21"/>
        </w:rPr>
        <w:t>Enterprise: still “Contact us,” deliberately not a list price.</w:t>
      </w:r>
      <w:r>
        <w:rPr>
          <w:rFonts w:ascii="Calibri" w:hAnsi="Calibri"/>
          <w:b w:val="0"/>
          <w:color w:val="1F1E1D"/>
          <w:sz w:val="21"/>
        </w:rPr>
        <w:t xml:space="preserve"> This matches the explicit, already-made decision that Enterprise stays a manual sales conversation, not a self-serve price. For internal planning only — not for publication — the illustrative average deal size used in the scenario model above (~$25,000/year, ~$2,083/month amortised) remains a reasonable placeholder for forecasting, unchanged by this section.</w:t>
      </w:r>
    </w:p>
    <w:p>
      <w:r>
        <w:rPr>
          <w:rFonts w:ascii="Calibri" w:hAnsi="Calibri"/>
          <w:b/>
          <w:color w:val="7A3620"/>
          <w:sz w:val="24"/>
        </w:rPr>
        <w:t>What this section does not change</w:t>
      </w:r>
    </w:p>
    <w:p>
      <w:pPr>
        <w:pStyle w:val="ListParagraph"/>
        <w:ind w:left="360"/>
      </w:pPr>
      <w:r>
        <w:rPr>
          <w:rFonts w:ascii="Calibri" w:hAnsi="Calibri"/>
          <w:b w:val="0"/>
          <w:color w:val="1F1E1D"/>
          <w:sz w:val="21"/>
        </w:rPr>
        <w:t xml:space="preserve">•  </w:t>
      </w:r>
      <w:r>
        <w:rPr>
          <w:rFonts w:ascii="Calibri" w:hAnsi="Calibri"/>
          <w:b w:val="0"/>
          <w:color w:val="1F1E1D"/>
          <w:sz w:val="21"/>
        </w:rPr>
        <w:t>The hard-downgrade-not-overage policy for Pro accounts exceeding a monthly cap.</w:t>
      </w:r>
    </w:p>
    <w:p>
      <w:pPr>
        <w:pStyle w:val="ListParagraph"/>
        <w:ind w:left="360"/>
      </w:pPr>
      <w:r>
        <w:rPr>
          <w:rFonts w:ascii="Calibri" w:hAnsi="Calibri"/>
          <w:b w:val="0"/>
          <w:color w:val="1F1E1D"/>
          <w:sz w:val="21"/>
        </w:rPr>
        <w:t xml:space="preserve">•  </w:t>
      </w:r>
      <w:r>
        <w:rPr>
          <w:rFonts w:ascii="Calibri" w:hAnsi="Calibri"/>
          <w:b w:val="0"/>
          <w:color w:val="1F1E1D"/>
          <w:sz w:val="21"/>
        </w:rPr>
        <w:t>Monthly-only billing (no annual tier live yet).</w:t>
      </w:r>
    </w:p>
    <w:p>
      <w:pPr>
        <w:pStyle w:val="ListParagraph"/>
        <w:ind w:left="360"/>
      </w:pPr>
      <w:r>
        <w:rPr>
          <w:rFonts w:ascii="Calibri" w:hAnsi="Calibri"/>
          <w:b w:val="0"/>
          <w:color w:val="1F1E1D"/>
          <w:sz w:val="21"/>
        </w:rPr>
        <w:t xml:space="preserve">•  </w:t>
      </w:r>
      <w:r>
        <w:rPr>
          <w:rFonts w:ascii="Calibri" w:hAnsi="Calibri"/>
          <w:b w:val="0"/>
          <w:color w:val="1F1E1D"/>
          <w:sz w:val="21"/>
        </w:rPr>
        <w:t>Enterprise's manual, “Contact us” sales motion.</w:t>
      </w:r>
    </w:p>
    <w:p>
      <w:pPr>
        <w:pStyle w:val="ListParagraph"/>
        <w:ind w:left="360"/>
      </w:pPr>
      <w:r>
        <w:rPr>
          <w:rFonts w:ascii="Calibri" w:hAnsi="Calibri"/>
          <w:b w:val="0"/>
          <w:color w:val="1F1E1D"/>
          <w:sz w:val="21"/>
        </w:rPr>
        <w:t xml:space="preserve">•  </w:t>
      </w:r>
      <w:r>
        <w:rPr>
          <w:rFonts w:ascii="Calibri" w:hAnsi="Calibri"/>
          <w:b w:val="0"/>
          <w:color w:val="1F1E1D"/>
          <w:sz w:val="21"/>
        </w:rPr>
        <w:t>The Free tier's existing limits.</w:t>
      </w:r>
    </w:p>
    <w:p>
      <w:r>
        <w:rPr>
          <w:rFonts w:ascii="Calibri" w:hAnsi="Calibri"/>
          <w:b w:val="0"/>
          <w:i w:val="0"/>
          <w:color w:val="1F1E1D"/>
          <w:sz w:val="21"/>
        </w:rPr>
        <w:t>Only one thing is new here: an actual $65/month price to attach to config.py's still-unset stripe_price_id_pro, reasoned independently rather than assumed from the earlier illustrative figure, and found to agree with it.</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862"/>
        <w:sz w:val="15"/>
        <w:szCs w:val="15"/>
      </w:rPr>
      <w:t xml:space="preserve">pyvar.com — Monetization Strategy   ·   </w:t>
    </w:r>
    <w:r>
      <w:rPr>
        <w:rFonts w:ascii="Consolas" w:cs="Consolas" w:eastAsia="Consolas" w:hAnsi="Consolas"/>
        <w:color w:val="6B6862"/>
        <w:sz w:val="15"/>
        <w:szCs w:val="15"/>
      </w:rPr>
      <w:fldChar w:fldCharType="begin"/>
      <w:instrText xml:space="preserve">PAGE</w:instrText>
      <w:fldChar w:fldCharType="separate"/>
      <w:fldChar w:fldCharType="end"/>
    </w:r>
    <w:r>
      <w:rPr>
        <w:rFonts w:ascii="Consolas" w:cs="Consolas" w:eastAsia="Consolas" w:hAnsi="Consolas"/>
        <w:color w:val="6B6862"/>
        <w:sz w:val="15"/>
        <w:szCs w:val="15"/>
      </w:rPr>
      <w:t xml:space="preserve"> / </w:t>
    </w:r>
    <w:r>
      <w:rPr>
        <w:rFonts w:ascii="Consolas" w:cs="Consolas" w:eastAsia="Consolas" w:hAnsi="Consolas"/>
        <w:color w:val="6B686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pyvar.com</dc:title>
  <dc:creator>Fibtec Limited</dc:creator>
  <cp:lastModifiedBy>Un-named</cp:lastModifiedBy>
  <cp:revision>1</cp:revision>
  <dcterms:created xsi:type="dcterms:W3CDTF">2026-08-29T12:10:30.815Z</dcterms:created>
  <dcterms:modified xsi:type="dcterms:W3CDTF">2026-08-29T12:10:30.815Z</dcterms:modified>
</cp:coreProperties>
</file>

<file path=docProps/custom.xml><?xml version="1.0" encoding="utf-8"?>
<Properties xmlns="http://schemas.openxmlformats.org/officeDocument/2006/custom-properties" xmlns:vt="http://schemas.openxmlformats.org/officeDocument/2006/docPropsVTypes"/>
</file>