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left"/>
      </w:pPr>
      <w:r>
        <w:rPr>
          <w:rFonts w:ascii="Consolas" w:cs="Consolas" w:eastAsia="Consolas" w:hAnsi="Consolas"/>
          <w:b/>
          <w:bCs/>
          <w:color w:val="A84A2E"/>
          <w:sz w:val="22"/>
          <w:szCs w:val="22"/>
        </w:rPr>
        <w:t xml:space="preserve">pyvar</w:t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1F1E1D"/>
          <w:sz w:val="56"/>
          <w:szCs w:val="56"/>
        </w:rPr>
        <w:t xml:space="preserve">pyvar Local.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6B6862"/>
          <w:sz w:val="28"/>
          <w:szCs w:val="28"/>
        </w:rPr>
        <w:t xml:space="preserve">A downloadable, offline-capable package proposal — architecture, licensing, and an honest look at what it's actually selling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1E1D"/>
          <w:sz w:val="20"/>
          <w:szCs w:val="20"/>
        </w:rPr>
        <w:t xml:space="preserve">Prepared by  </w:t>
      </w:r>
      <w:r>
        <w:rPr>
          <w:rFonts w:ascii="Calibri" w:cs="Calibri" w:eastAsia="Calibri" w:hAnsi="Calibri"/>
          <w:color w:val="6B6862"/>
          <w:sz w:val="20"/>
          <w:szCs w:val="20"/>
        </w:rPr>
        <w:t xml:space="preserve">Fibtec Limited (United Kingdom)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1E1D"/>
          <w:sz w:val="20"/>
          <w:szCs w:val="20"/>
        </w:rPr>
        <w:t xml:space="preserve">Subject  </w:t>
      </w:r>
      <w:r>
        <w:rPr>
          <w:rFonts w:ascii="Calibri" w:cs="Calibri" w:eastAsia="Calibri" w:hAnsi="Calibri"/>
          <w:color w:val="6B6862"/>
          <w:sz w:val="20"/>
          <w:szCs w:val="20"/>
        </w:rPr>
        <w:t xml:space="preserve">pyvar — pyvar.com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1E1D"/>
          <w:sz w:val="20"/>
          <w:szCs w:val="20"/>
        </w:rPr>
        <w:t xml:space="preserve">Status  </w:t>
      </w:r>
      <w:r>
        <w:rPr>
          <w:rFonts w:ascii="Calibri" w:cs="Calibri" w:eastAsia="Calibri" w:hAnsi="Calibri"/>
          <w:color w:val="6B6862"/>
          <w:sz w:val="20"/>
          <w:szCs w:val="20"/>
        </w:rPr>
        <w:t xml:space="preserve">Design &amp; business proposal — not yet built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1E1D"/>
          <w:sz w:val="20"/>
          <w:szCs w:val="20"/>
        </w:rPr>
        <w:t xml:space="preserve">Prepared  </w:t>
      </w:r>
      <w:r>
        <w:rPr>
          <w:rFonts w:ascii="Calibri" w:cs="Calibri" w:eastAsia="Calibri" w:hAnsi="Calibri"/>
          <w:color w:val="6B6862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pBdr>
          <w:bottom w:val="single" w:color="A84A2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1E1D"/>
          <w:sz w:val="30"/>
          <w:szCs w:val="30"/>
        </w:rPr>
        <w:t xml:space="preserve">Rationale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F1E1D"/>
          <w:sz w:val="21"/>
          <w:szCs w:val="21"/>
        </w:rPr>
        <w:t xml:space="preserve">pyvar.com's hosted API is the primary product and should stay the default for most users. A local, offline-capable package is proposed for a specific and real institutional need it cannot serve: some banks' data-governance policies do not permit sending position, portfolio, or scenario data to any third-party API, even a stateless one that stores nothing — the policy is about the network boundary, not about trust in pyvar specifically. Latency-sensitive intraday use and genuinely air-gapped environments are the same category of need. This is a common and well-understood requirement in regulated finance, not a hypothetical one.</w:t>
      </w:r>
    </w:p>
    <w:p>
      <w:pPr>
        <w:pStyle w:val="Heading1"/>
        <w:pBdr>
          <w:bottom w:val="single" w:color="A84A2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1E1D"/>
          <w:sz w:val="30"/>
          <w:szCs w:val="30"/>
        </w:rPr>
        <w:t xml:space="preserve">Addressing the obvious tension directly</w:t>
      </w:r>
    </w:p>
    <w:p>
      <w:pPr>
        <w:pBdr>
          <w:left w:val="single" w:color="4C6B7A" w:sz="16" w:space="6"/>
        </w:pBdr>
        <w:shd w:fill="F3F1EA" w:val="clear"/>
        <w:spacing w:after="240" w:before="80" w:line="280"/>
        <w:ind w:left="200"/>
      </w:pPr>
      <w:r>
        <w:rPr>
          <w:rFonts w:ascii="Calibri" w:cs="Calibri" w:eastAsia="Calibri" w:hAnsi="Calibri"/>
          <w:i/>
          <w:iCs/>
          <w:color w:val="6B6862"/>
          <w:sz w:val="19"/>
          <w:szCs w:val="19"/>
        </w:rPr>
        <w:t xml:space="preserve">pyvar's compute engine is, and will remain, MIT-licensed and public on GitHub once the repository goes public. That means anyone can already clone it and run it locally for free today, with no purchase required. A "local package" proposal has to be honest about what it is actually selling, because it cannot be code access.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F1E1D"/>
          <w:sz w:val="21"/>
          <w:szCs w:val="21"/>
        </w:rPr>
        <w:t xml:space="preserve">What it sells is the same thing Red Hat sells around free Linux, or GitLab and Elastic sell around their open cores: a tested, signed, supported, documented release — plus the specific pieces a regulated institution's own procurement and model-risk process actually needs and cannot get from a self-built checkout of a GitHub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signed, versioned release — </w:t>
      </w:r>
      <w:r>
        <w:rPr>
          <w:rFonts w:ascii="Calibri" w:cs="Calibri" w:eastAsia="Calibri" w:hAnsi="Calibri"/>
          <w:sz w:val="21"/>
          <w:szCs w:val="21"/>
        </w:rPr>
        <w:t xml:space="preserve">built, tested and cryptographically signed by Fibtec, not self-compiled from source by the customer's own team.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regulatory documentation bundle — </w:t>
      </w:r>
      <w:r>
        <w:rPr>
          <w:rFonts w:ascii="Calibri" w:cs="Calibri" w:eastAsia="Calibri" w:hAnsi="Calibri"/>
          <w:sz w:val="21"/>
          <w:szCs w:val="21"/>
        </w:rPr>
        <w:t xml:space="preserve">each function mapped to the specific Basel/FRTB/IFRS 9 clause it implements, formatted for a model-validation file — the artefact a compliance team actually needs to sign off on using it, which is not something the open-source repository itself provides.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Update and security-patch delivery — </w:t>
      </w:r>
      <w:r>
        <w:rPr>
          <w:rFonts w:ascii="Calibri" w:cs="Calibri" w:eastAsia="Calibri" w:hAnsi="Calibri"/>
          <w:sz w:val="21"/>
          <w:szCs w:val="21"/>
        </w:rPr>
        <w:t xml:space="preserve">a defined channel and cadence for getting fixes into an offline environment, addressed below.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 and SLA — </w:t>
      </w:r>
      <w:r>
        <w:rPr>
          <w:rFonts w:ascii="Calibri" w:cs="Calibri" w:eastAsia="Calibri" w:hAnsi="Calibri"/>
          <w:sz w:val="21"/>
          <w:szCs w:val="21"/>
        </w:rPr>
        <w:t xml:space="preserve">a named point of contact and response-time commitment, the same thing Fibtec's Enterprise hosted tier already offers.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F1E1D"/>
          <w:sz w:val="21"/>
          <w:szCs w:val="21"/>
        </w:rPr>
        <w:t xml:space="preserve">If a customer would rather build all of that themselves from the free public repository, they already can — that has always been true of open-core products, and it has never been what stops regulated institutions from paying for the supported version instead.</w:t>
      </w:r>
    </w:p>
    <w:p>
      <w:pPr>
        <w:pStyle w:val="Heading1"/>
        <w:pBdr>
          <w:bottom w:val="single" w:color="A84A2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1E1D"/>
          <w:sz w:val="30"/>
          <w:szCs w:val="30"/>
        </w:rPr>
        <w:t xml:space="preserve">What ships in the package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The compute engine (engine/) — the actual Numba JIT-accelerated risk functions, unchanged from what powers the hosted API. Not a fork, not a reimplementation: generated/packaged from the exact same source, the same discipline already used for the Claude Code skills and MCP server (docs/p10-skills-and-plugin-plan.md's generate-from-source pattern).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A lightweight local API server (FastAPI, single-process) and a CLI — no Celery/SQS/Aurora/multi-tenant tier machinery, none of which makes sense for a single institution's own single-node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The full engine test suite (tests/test_engine.py) — shipped, not just referenced, so a bank's own model-validation team can run it themselves and see the same numerical-property checks pass locally that gate every change to the hosted platform.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The regulatory documentation bundle and release notes described above.</w:t>
      </w:r>
    </w:p>
    <w:p>
      <w:pPr>
        <w:pStyle w:val="Heading1"/>
        <w:pBdr>
          <w:bottom w:val="single" w:color="A84A2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1E1D"/>
          <w:sz w:val="30"/>
          <w:szCs w:val="30"/>
        </w:rPr>
        <w:t xml:space="preserve">Packaging mechanism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300"/>
      </w:tblGrid>
      <w:tr>
        <w:trPr>
          <w:tblHeader/>
        </w:trPr>
        <w:tc>
          <w:tcPr>
            <w:tcW w:type="dxa" w:w="2600"/>
            <w:shd w:fill="A8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900"/>
            <w:shd w:fill="A8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Advantage</w:t>
            </w:r>
          </w:p>
        </w:tc>
        <w:tc>
          <w:tcPr>
            <w:tcW w:type="dxa" w:w="3300"/>
            <w:shd w:fill="A8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E1D"/>
                <w:sz w:val="18"/>
                <w:szCs w:val="18"/>
              </w:rPr>
              <w:t xml:space="preserve">Docker image (recommended primary)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E1D"/>
                <w:sz w:val="17"/>
                <w:szCs w:val="17"/>
              </w:rPr>
              <w:t xml:space="preserve">Reproducible across OS/hardware; can ship a pre-warmed Numba compilation cache baked into the image, avoiding the ~2s first-call JIT compile CLAUDE.md already flags as a known issue for the hosted worker fleet — the same problem, solved the same way, for a single local image.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E1D"/>
                <w:sz w:val="17"/>
                <w:szCs w:val="17"/>
              </w:rPr>
              <w:t xml:space="preserve">Requires a container runtime, which some air-gapped environments restrict.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E1D"/>
                <w:sz w:val="18"/>
                <w:szCs w:val="18"/>
              </w:rPr>
              <w:t xml:space="preserve">Python wheel / pip package (secondary)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E1D"/>
                <w:sz w:val="17"/>
                <w:szCs w:val="17"/>
              </w:rPr>
              <w:t xml:space="preserve">Familiar to a quant/dev audience already using pyvar-client; smaller download.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E1D"/>
                <w:sz w:val="17"/>
                <w:szCs w:val="17"/>
              </w:rPr>
              <w:t xml:space="preserve">First run pays the Numba JIT compile cost live unless the customer's own environment caches ~/.cache/numba, which a fresh local machine won't have.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E1D"/>
                <w:sz w:val="18"/>
                <w:szCs w:val="18"/>
              </w:rPr>
              <w:t xml:space="preserve">Single self-contained zip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E1D"/>
                <w:sz w:val="17"/>
                <w:szCs w:val="17"/>
              </w:rPr>
              <w:t xml:space="preserve">Simplest mental model for a non-technical procurement process ("download one file").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E1D"/>
                <w:sz w:val="17"/>
                <w:szCs w:val="17"/>
              </w:rPr>
              <w:t xml:space="preserve">Hardest to keep reproducible across OS/Python versions in practice — not recommended as the primary path.</w:t>
            </w:r>
          </w:p>
        </w:tc>
      </w:tr>
    </w:tbl>
    <w:p>
      <w:pPr>
        <w:pBdr>
          <w:left w:val="single" w:color="4C6B7A" w:sz="16" w:space="6"/>
        </w:pBdr>
        <w:shd w:fill="F3F1EA" w:val="clear"/>
        <w:spacing w:after="240" w:before="80" w:line="280"/>
        <w:ind w:left="200"/>
      </w:pPr>
      <w:r>
        <w:rPr>
          <w:rFonts w:ascii="Calibri" w:cs="Calibri" w:eastAsia="Calibri" w:hAnsi="Calibri"/>
          <w:i/>
          <w:iCs/>
          <w:color w:val="6B6862"/>
          <w:sz w:val="19"/>
          <w:szCs w:val="19"/>
        </w:rPr>
        <w:t xml:space="preserve">Recommendation: Docker image as the primary supported artefact, wheel as a secondary option for developer/evaluation use — not the zip.</w:t>
      </w:r>
    </w:p>
    <w:p>
      <w:pPr>
        <w:pStyle w:val="Heading1"/>
        <w:pBdr>
          <w:bottom w:val="single" w:color="A84A2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1E1D"/>
          <w:sz w:val="30"/>
          <w:szCs w:val="30"/>
        </w:rPr>
        <w:t xml:space="preserve">Licensing &amp; subscription mechanism (proposal)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F1E1D"/>
          <w:sz w:val="21"/>
          <w:szCs w:val="21"/>
        </w:rPr>
        <w:t xml:space="preserve">Because the code itself cannot be gated, the subscription gate is proposed at the release/support layer instead: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A signed licence file (JWT-style, signed with a Fibtec private key, verified locally against an embedded public key — no network call required to verify) unlocks access to the signed release channel, the documentation bundle, and update delivery for the subscription's node/seat 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Verification is fully offline-capable by design — appropriate for the air-gapped use case this whole proposal is aimed at — with an optional, not mandatory, periodic phone-home for renewal reminders and update notifications for customers whose environment permits outbound calls.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A grace period on licence expiry (e.g. 30 days) rather than a hard cutoff, so a lapsed renewal during a slow procurement cycle does not stop a bank's risk calculation mid-quarter — a real operational risk to design against, not just a nicety.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Billed per node or per institution/year, as in the accompanying monetization strategy's illustrative pricing table.</w:t>
      </w:r>
    </w:p>
    <w:p>
      <w:pPr>
        <w:pStyle w:val="Heading1"/>
        <w:pBdr>
          <w:bottom w:val="single" w:color="A84A2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1E1D"/>
          <w:sz w:val="30"/>
          <w:szCs w:val="30"/>
        </w:rPr>
        <w:t xml:space="preserve">Keeping the local package honest and in sync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F1E1D"/>
          <w:sz w:val="21"/>
          <w:szCs w:val="21"/>
        </w:rPr>
        <w:t xml:space="preserve">The single biggest risk to a local package's credibility is drift — a local install quietly falling behind the hosted engine's defect fixes and regulatory-formula corrections. Mitigations: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Generated from the same engine/ source as the hosted API on every release, never a manually-maintained fork — the same discipline (and the same CI drift-check pattern already used for the skills plugins and MCP tool catalogue) applied to this package.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A published changelog mapping every local-package release to the hosted platform's own version history, so a customer can see exactly what they are and aren't running.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F1E1D"/>
          <w:sz w:val="21"/>
          <w:szCs w:val="21"/>
        </w:rPr>
        <w:t xml:space="preserve">A defined security-patch SLA (e.g. critical fixes available for download within N business days of the hosted platform receiving them), communicated even to offline customers via whatever out-of-band channel (email, a customer portal) their environment permits.</w:t>
      </w:r>
    </w:p>
    <w:p>
      <w:pPr>
        <w:pStyle w:val="Heading1"/>
        <w:pBdr>
          <w:bottom w:val="single" w:color="A84A2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1E1D"/>
          <w:sz w:val="30"/>
          <w:szCs w:val="30"/>
        </w:rPr>
        <w:t xml:space="preserve">Go-to-market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F1E1D"/>
          <w:sz w:val="21"/>
          <w:szCs w:val="21"/>
        </w:rPr>
        <w:t xml:space="preserve">This product pairs naturally with the other two documents in this set: the grant brief's public-good framing (an open engine, auditable by anyone) is what makes a regulated institution comfortable trusting the code in the first place, and the monetization strategy's tiering is where pyvar Local actually sits as a revenue line. Realistic early customers are institutions that already evaluated pyvar's hosted free tier, hit an internal data-governance objection to the network boundary rather than the product itself, and need exactly this to move forward — not a cold sales motion.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B6862"/>
        <w:sz w:val="15"/>
        <w:szCs w:val="15"/>
      </w:rPr>
      <w:t xml:space="preserve">pyvar.com — pyvar Local Proposal   ·   </w:t>
    </w:r>
    <w:r>
      <w:rPr>
        <w:rFonts w:ascii="Consolas" w:cs="Consolas" w:eastAsia="Consolas" w:hAnsi="Consolas"/>
        <w:color w:val="6B686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6B6862"/>
        <w:sz w:val="15"/>
        <w:szCs w:val="15"/>
      </w:rPr>
      <w:t xml:space="preserve"> / </w:t>
    </w:r>
    <w:r>
      <w:rPr>
        <w:rFonts w:ascii="Consolas" w:cs="Consolas" w:eastAsia="Consolas" w:hAnsi="Consolas"/>
        <w:color w:val="6B686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E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pyvar.com</dc:title>
  <dc:creator>Fibtec Limited</dc:creator>
  <cp:lastModifiedBy>Un-named</cp:lastModifiedBy>
  <cp:revision>1</cp:revision>
  <dcterms:created xsi:type="dcterms:W3CDTF">2026-08-29T12:13:44.711Z</dcterms:created>
  <dcterms:modified xsi:type="dcterms:W3CDTF">2026-08-29T12:13:44.711Z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