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FLEETGRID — Person 1 — Product / Agent Lead PRD</w:t>
      </w:r>
    </w:p>
    <w:p>
      <w:pPr>
        <w:jc w:val="center"/>
      </w:pPr>
      <w:r>
        <w:rPr>
          <w:i/>
          <w:sz w:val="20"/>
        </w:rPr>
        <w:t>FleetGrid • EmberGround AI Hackathon 2026 • Coding-Agent Build Specification</w:t>
      </w:r>
    </w:p>
    <w:p>
      <w:pPr>
        <w:pStyle w:val="Heading1"/>
      </w:pPr>
      <w:r>
        <w:t>1. Role &amp; Mission</w:t>
      </w:r>
    </w:p>
    <w:p>
      <w:r>
        <w:t>Own the FleetGrid agent brain, tool contracts, structured reasoning, approval gates and the recovery workflow. The agent must coordinate real backend actions but never become an uncontrolled superuser.</w:t>
      </w:r>
    </w:p>
    <w:p>
      <w:pPr>
        <w:pStyle w:val="Heading1"/>
      </w:pPr>
      <w:r>
        <w:t>2.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Item</w:t>
            </w:r>
          </w:p>
        </w:tc>
        <w:tc>
          <w:tcPr>
            <w:tcW w:type="dxa" w:w="5112"/>
          </w:tcPr>
          <w:p>
            <w:r>
              <w:t>Owner</w:t>
            </w:r>
          </w:p>
        </w:tc>
      </w:tr>
      <w:tr>
        <w:tc>
          <w:tcPr>
            <w:tcW w:type="dxa" w:w="5112"/>
          </w:tcPr>
          <w:p>
            <w:r>
              <w:t>Primary owner</w:t>
            </w:r>
          </w:p>
        </w:tc>
        <w:tc>
          <w:tcPr>
            <w:tcW w:type="dxa" w:w="5112"/>
          </w:tcPr>
          <w:p>
            <w:r>
              <w:t>Person 1 — Product / Agent Lead</w:t>
            </w:r>
          </w:p>
        </w:tc>
      </w:tr>
      <w:tr>
        <w:tc>
          <w:tcPr>
            <w:tcW w:type="dxa" w:w="5112"/>
          </w:tcPr>
          <w:p>
            <w:r>
              <w:t>Dependencies</w:t>
            </w:r>
          </w:p>
        </w:tc>
        <w:tc>
          <w:tcPr>
            <w:tcW w:type="dxa" w:w="5112"/>
          </w:tcPr>
          <w:p>
            <w:r>
              <w:t>Backend/Data (Person 2) for tools/state; Voice/Integrations (Person 4) for incident input; Payments/Infra/Proof (Person 5) for payment/proof tools.</w:t>
            </w:r>
          </w:p>
        </w:tc>
      </w:tr>
      <w:tr>
        <w:tc>
          <w:tcPr>
            <w:tcW w:type="dxa" w:w="5112"/>
          </w:tcPr>
          <w:p>
            <w:r>
              <w:t>Authority</w:t>
            </w:r>
          </w:p>
        </w:tc>
        <w:tc>
          <w:tcPr>
            <w:tcW w:type="dxa" w:w="5112"/>
          </w:tcPr>
          <w:p>
            <w:r>
              <w:t>Master PRD + this workstream PRD</w:t>
            </w:r>
          </w:p>
        </w:tc>
      </w:tr>
      <w:tr>
        <w:tc>
          <w:tcPr>
            <w:tcW w:type="dxa" w:w="5112"/>
          </w:tcPr>
          <w:p>
            <w:r>
              <w:t>Handoff</w:t>
            </w:r>
          </w:p>
        </w:tc>
        <w:tc>
          <w:tcPr>
            <w:tcW w:type="dxa" w:w="5112"/>
          </w:tcPr>
          <w:p>
            <w:r>
              <w:t>Document contracts and test evidence before integration</w:t>
            </w:r>
          </w:p>
        </w:tc>
      </w:tr>
    </w:tbl>
    <w:p>
      <w:pPr>
        <w:pStyle w:val="Heading1"/>
      </w:pPr>
      <w:r>
        <w:t>3. Build Scope</w:t>
      </w:r>
    </w:p>
    <w:p>
      <w:pPr>
        <w:pStyle w:val="ListBullet"/>
      </w:pPr>
      <w:r>
        <w:t>Define agent input/output schemas.</w:t>
      </w:r>
    </w:p>
    <w:p>
      <w:pPr>
        <w:pStyle w:val="ListBullet"/>
      </w:pPr>
      <w:r>
        <w:t>Implement tool interfaces matching the Master PRD.</w:t>
      </w:r>
    </w:p>
    <w:p>
      <w:pPr>
        <w:pStyle w:val="ListBullet"/>
      </w:pPr>
      <w:r>
        <w:t>Implement incident → impact → capacity → comparison → recovery-plan workflow.</w:t>
      </w:r>
    </w:p>
    <w:p>
      <w:pPr>
        <w:pStyle w:val="ListBullet"/>
      </w:pPr>
      <w:r>
        <w:t>Implement human approval gate.</w:t>
      </w:r>
    </w:p>
    <w:p>
      <w:pPr>
        <w:pStyle w:val="ListBullet"/>
      </w:pPr>
      <w:r>
        <w:t>Implement execution verification.</w:t>
      </w:r>
    </w:p>
    <w:p>
      <w:pPr>
        <w:pStyle w:val="ListBullet"/>
      </w:pPr>
      <w:r>
        <w:t>Persist agent activity as readable events.</w:t>
      </w:r>
    </w:p>
    <w:p>
      <w:pPr>
        <w:pStyle w:val="ListBullet"/>
      </w:pPr>
      <w:r>
        <w:t>Support deterministic fallback recovery options for demo reliability.</w:t>
      </w:r>
    </w:p>
    <w:p>
      <w:pPr>
        <w:pStyle w:val="Heading1"/>
      </w:pPr>
      <w:r>
        <w:t>4. Agent Input Schema</w:t>
      </w:r>
    </w:p>
    <w:p>
      <w:pPr>
        <w:pStyle w:val="ListBullet"/>
      </w:pPr>
      <w:r>
        <w:t>incident_id</w:t>
      </w:r>
    </w:p>
    <w:p>
      <w:pPr>
        <w:pStyle w:val="ListBullet"/>
      </w:pPr>
      <w:r>
        <w:t>incident type/severity</w:t>
      </w:r>
    </w:p>
    <w:p>
      <w:pPr>
        <w:pStyle w:val="ListBullet"/>
      </w:pPr>
      <w:r>
        <w:t>truck ID</w:t>
      </w:r>
    </w:p>
    <w:p>
      <w:pPr>
        <w:pStyle w:val="ListBullet"/>
      </w:pPr>
      <w:r>
        <w:t>location</w:t>
      </w:r>
    </w:p>
    <w:p>
      <w:pPr>
        <w:pStyle w:val="ListBullet"/>
      </w:pPr>
      <w:r>
        <w:t>transcript</w:t>
      </w:r>
    </w:p>
    <w:p>
      <w:pPr>
        <w:pStyle w:val="ListBullet"/>
      </w:pPr>
      <w:r>
        <w:t>structured incident summary</w:t>
      </w:r>
    </w:p>
    <w:p>
      <w:pPr>
        <w:pStyle w:val="Heading1"/>
      </w:pPr>
      <w:r>
        <w:t>5. Agent Output Schema</w:t>
      </w:r>
    </w:p>
    <w:p>
      <w:pPr>
        <w:pStyle w:val="ListBullet"/>
      </w:pPr>
      <w:r>
        <w:t>incident_summary</w:t>
      </w:r>
    </w:p>
    <w:p>
      <w:pPr>
        <w:pStyle w:val="ListBullet"/>
      </w:pPr>
      <w:r>
        <w:t>affected_shipments[]</w:t>
      </w:r>
    </w:p>
    <w:p>
      <w:pPr>
        <w:pStyle w:val="ListBullet"/>
      </w:pPr>
      <w:r>
        <w:t>candidate_options[]</w:t>
      </w:r>
    </w:p>
    <w:p>
      <w:pPr>
        <w:pStyle w:val="ListBullet"/>
      </w:pPr>
      <w:r>
        <w:t>selected_option</w:t>
      </w:r>
    </w:p>
    <w:p>
      <w:pPr>
        <w:pStyle w:val="ListBullet"/>
      </w:pPr>
      <w:r>
        <w:t>reasoning_facts[]</w:t>
      </w:r>
    </w:p>
    <w:p>
      <w:pPr>
        <w:pStyle w:val="ListBullet"/>
      </w:pPr>
      <w:r>
        <w:t>recovery_steps[]</w:t>
      </w:r>
    </w:p>
    <w:p>
      <w:pPr>
        <w:pStyle w:val="ListBullet"/>
      </w:pPr>
      <w:r>
        <w:t>approval_required</w:t>
      </w:r>
    </w:p>
    <w:p>
      <w:pPr>
        <w:pStyle w:val="ListBullet"/>
      </w:pPr>
      <w:r>
        <w:t>plan_id</w:t>
      </w:r>
    </w:p>
    <w:p>
      <w:pPr>
        <w:pStyle w:val="ListBullet"/>
      </w:pPr>
      <w:r>
        <w:t>confidence/uncertainty fields where useful</w:t>
      </w:r>
    </w:p>
    <w:p>
      <w:pPr>
        <w:pStyle w:val="Heading1"/>
      </w:pPr>
      <w:r>
        <w:t>6. Tool Contract Rules</w:t>
      </w:r>
    </w:p>
    <w:p>
      <w:pPr>
        <w:pStyle w:val="ListBullet"/>
      </w:pPr>
      <w:r>
        <w:t>Tools are the only route to state mutation.</w:t>
      </w:r>
    </w:p>
    <w:p>
      <w:pPr>
        <w:pStyle w:val="ListBullet"/>
      </w:pPr>
      <w:r>
        <w:t>Read tools return authoritative backend data.</w:t>
      </w:r>
    </w:p>
    <w:p>
      <w:pPr>
        <w:pStyle w:val="ListBullet"/>
      </w:pPr>
      <w:r>
        <w:t>Mutation tools validate state transitions.</w:t>
      </w:r>
    </w:p>
    <w:p>
      <w:pPr>
        <w:pStyle w:val="ListBullet"/>
      </w:pPr>
      <w:r>
        <w:t>execute_recovery must reject plans not APPROVED.</w:t>
      </w:r>
    </w:p>
    <w:p>
      <w:pPr>
        <w:pStyle w:val="ListBullet"/>
      </w:pPr>
      <w:r>
        <w:t>Tool calls must be idempotent where repeated calls are possible.</w:t>
      </w:r>
    </w:p>
    <w:p>
      <w:pPr>
        <w:pStyle w:val="ListBullet"/>
      </w:pPr>
      <w:r>
        <w:t>Agent must never fabricate payment status, blockchain status, ETA or truck capacity.</w:t>
      </w:r>
    </w:p>
    <w:p>
      <w:pPr>
        <w:pStyle w:val="Heading1"/>
      </w:pPr>
      <w:r>
        <w:t>7. Recovery Selection Logic</w:t>
      </w:r>
    </w:p>
    <w:p>
      <w:pPr>
        <w:pStyle w:val="ListBullet"/>
      </w:pPr>
      <w:r>
        <w:t>First eliminate incompatible capacity.</w:t>
      </w:r>
    </w:p>
    <w:p>
      <w:pPr>
        <w:pStyle w:val="ListBullet"/>
      </w:pPr>
      <w:r>
        <w:t>Then consider route compatibility and deadline impact.</w:t>
      </w:r>
    </w:p>
    <w:p>
      <w:pPr>
        <w:pStyle w:val="ListBullet"/>
      </w:pPr>
      <w:r>
        <w:t>Then compare ETA delta and recovery cost.</w:t>
      </w:r>
    </w:p>
    <w:p>
      <w:pPr>
        <w:pStyle w:val="ListBullet"/>
      </w:pPr>
      <w:r>
        <w:t>Return at least two candidates when seeded data supports it.</w:t>
      </w:r>
    </w:p>
    <w:p>
      <w:pPr>
        <w:pStyle w:val="ListBullet"/>
      </w:pPr>
      <w:r>
        <w:t>Recommendation must be explainable in operational facts, not hidden chain-of-thought.</w:t>
      </w:r>
    </w:p>
    <w:p>
      <w:pPr>
        <w:pStyle w:val="ListBullet"/>
      </w:pPr>
      <w:r>
        <w:t>Expose concise decision factors such as '3.1T spare, 17 min estimated arrival, compatible Chennai route'.</w:t>
      </w:r>
    </w:p>
    <w:p>
      <w:pPr>
        <w:pStyle w:val="Heading1"/>
      </w:pPr>
      <w:r>
        <w:t>8. Acceptance Criteria</w:t>
      </w:r>
    </w:p>
    <w:p>
      <w:pPr>
        <w:pStyle w:val="ListBullet"/>
      </w:pPr>
      <w:r>
        <w:t>Given the seeded Hosur breakdown, the agent identifies FG-027's shipment as affected.</w:t>
      </w:r>
    </w:p>
    <w:p>
      <w:pPr>
        <w:pStyle w:val="ListBullet"/>
      </w:pPr>
      <w:r>
        <w:t>It retrieves FG-041 and FG-052 as valid candidates.</w:t>
      </w:r>
    </w:p>
    <w:p>
      <w:pPr>
        <w:pStyle w:val="ListBullet"/>
      </w:pPr>
      <w:r>
        <w:t>It produces a structured recovery plan.</w:t>
      </w:r>
    </w:p>
    <w:p>
      <w:pPr>
        <w:pStyle w:val="ListBullet"/>
      </w:pPr>
      <w:r>
        <w:t>It requests approval before execution.</w:t>
      </w:r>
    </w:p>
    <w:p>
      <w:pPr>
        <w:pStyle w:val="ListBullet"/>
      </w:pPr>
      <w:r>
        <w:t>Approval changes plan to APPROVED.</w:t>
      </w:r>
    </w:p>
    <w:p>
      <w:pPr>
        <w:pStyle w:val="ListBullet"/>
      </w:pPr>
      <w:r>
        <w:t>Execution changes truck/shipment state.</w:t>
      </w:r>
    </w:p>
    <w:p>
      <w:pPr>
        <w:pStyle w:val="ListBullet"/>
      </w:pPr>
      <w:r>
        <w:t>Agent verifies the resulting state through a read tool.</w:t>
      </w:r>
    </w:p>
    <w:p>
      <w:pPr>
        <w:pStyle w:val="ListBullet"/>
      </w:pPr>
      <w:r>
        <w:t>Agent records the key events.</w:t>
      </w:r>
    </w:p>
    <w:p>
      <w:pPr>
        <w:pStyle w:val="ListBullet"/>
      </w:pPr>
      <w:r>
        <w:t>If an external model fails, deterministic recovery mode still produces a valid plan.</w:t>
      </w:r>
    </w:p>
    <w:p>
      <w:pPr>
        <w:pStyle w:val="Heading1"/>
      </w:pPr>
      <w:r>
        <w:t>9. Do Not Build</w:t>
      </w:r>
    </w:p>
    <w:p>
      <w:pPr>
        <w:pStyle w:val="ListBullet"/>
      </w:pPr>
      <w:r>
        <w:t>Multiple autonomous agents.</w:t>
      </w:r>
    </w:p>
    <w:p>
      <w:pPr>
        <w:pStyle w:val="ListBullet"/>
      </w:pPr>
      <w:r>
        <w:t>Long-term predictive maintenance.</w:t>
      </w:r>
    </w:p>
    <w:p>
      <w:pPr>
        <w:pStyle w:val="ListBullet"/>
      </w:pPr>
      <w:r>
        <w:t>Unbounded LLM database access.</w:t>
      </w:r>
    </w:p>
    <w:p>
      <w:pPr>
        <w:pStyle w:val="ListBullet"/>
      </w:pPr>
      <w:r>
        <w:t>Autonomous financial settlement.</w:t>
      </w:r>
    </w:p>
    <w:p>
      <w:pPr>
        <w:pStyle w:val="ListBullet"/>
      </w:pPr>
      <w:r>
        <w:t>Hidden/unverifiable reasoning.</w:t>
      </w:r>
    </w:p>
    <w:p>
      <w:pPr>
        <w:pStyle w:val="ListBullet"/>
      </w:pPr>
      <w:r>
        <w:t>New product features outside recovery/capacity.</w:t>
      </w:r>
    </w:p>
    <w:p>
      <w:pPr>
        <w:pStyle w:val="Heading1"/>
      </w:pPr>
      <w:r>
        <w:t>Final Handoff Checklist</w:t>
      </w:r>
    </w:p>
    <w:p>
      <w:pPr>
        <w:pStyle w:val="ListBullet"/>
      </w:pPr>
      <w:r>
        <w:t>Code is committed/merged cleanly.</w:t>
      </w:r>
    </w:p>
    <w:p>
      <w:pPr>
        <w:pStyle w:val="ListBullet"/>
      </w:pPr>
      <w:r>
        <w:t>No secrets committed.</w:t>
      </w:r>
    </w:p>
    <w:p>
      <w:pPr>
        <w:pStyle w:val="ListBullet"/>
      </w:pPr>
      <w:r>
        <w:t>All required environment variables are documented.</w:t>
      </w:r>
    </w:p>
    <w:p>
      <w:pPr>
        <w:pStyle w:val="ListBullet"/>
      </w:pPr>
      <w:r>
        <w:t>Acceptance tests pass.</w:t>
      </w:r>
    </w:p>
    <w:p>
      <w:pPr>
        <w:pStyle w:val="ListBullet"/>
      </w:pPr>
      <w:r>
        <w:t>API/UI contracts match the Master PRD.</w:t>
      </w:r>
    </w:p>
    <w:p>
      <w:pPr>
        <w:pStyle w:val="ListBullet"/>
      </w:pPr>
      <w:r>
        <w:t>Known limitations are documented.</w:t>
      </w:r>
    </w:p>
    <w:p>
      <w:pPr>
        <w:pStyle w:val="ListBullet"/>
      </w:pPr>
      <w:r>
        <w:t>Integration owner can run the workstream without asking for undocumented setup steps.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