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FLEETGRID — Person 2 — Backend / Data PRD</w:t>
      </w:r>
    </w:p>
    <w:p>
      <w:pPr>
        <w:jc w:val="center"/>
      </w:pPr>
      <w:r>
        <w:rPr>
          <w:i/>
          <w:sz w:val="20"/>
        </w:rPr>
        <w:t>FleetGrid • EmberGround AI Hackathon 2026 • Coding-Agent Build Specification</w:t>
      </w:r>
    </w:p>
    <w:p>
      <w:pPr>
        <w:pStyle w:val="Heading1"/>
      </w:pPr>
      <w:r>
        <w:t>1. Role &amp; Mission</w:t>
      </w:r>
    </w:p>
    <w:p>
      <w:r>
        <w:t>Build the authoritative FleetGrid backend, PostgreSQL schema, state machine, API contracts, seed/reset system and realtime event stream.</w:t>
      </w:r>
    </w:p>
    <w:p>
      <w:pPr>
        <w:pStyle w:val="Heading1"/>
      </w:pPr>
      <w:r>
        <w:t>2.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Owner</w:t>
            </w:r>
          </w:p>
        </w:tc>
      </w:tr>
      <w:tr>
        <w:tc>
          <w:tcPr>
            <w:tcW w:type="dxa" w:w="5112"/>
          </w:tcPr>
          <w:p>
            <w:r>
              <w:t>Primary owner</w:t>
            </w:r>
          </w:p>
        </w:tc>
        <w:tc>
          <w:tcPr>
            <w:tcW w:type="dxa" w:w="5112"/>
          </w:tcPr>
          <w:p>
            <w:r>
              <w:t>Person 2 — Backend / Data</w:t>
            </w:r>
          </w:p>
        </w:tc>
      </w:tr>
      <w:tr>
        <w:tc>
          <w:tcPr>
            <w:tcW w:type="dxa" w:w="5112"/>
          </w:tcPr>
          <w:p>
            <w:r>
              <w:t>Dependencies</w:t>
            </w:r>
          </w:p>
        </w:tc>
        <w:tc>
          <w:tcPr>
            <w:tcW w:type="dxa" w:w="5112"/>
          </w:tcPr>
          <w:p>
            <w:r>
              <w:t>None for initial build. All other people depend on your contracts.</w:t>
            </w:r>
          </w:p>
        </w:tc>
      </w:tr>
      <w:tr>
        <w:tc>
          <w:tcPr>
            <w:tcW w:type="dxa" w:w="5112"/>
          </w:tcPr>
          <w:p>
            <w:r>
              <w:t>Authority</w:t>
            </w:r>
          </w:p>
        </w:tc>
        <w:tc>
          <w:tcPr>
            <w:tcW w:type="dxa" w:w="5112"/>
          </w:tcPr>
          <w:p>
            <w:r>
              <w:t>Master PRD + this workstream PRD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Document contracts and test evidence before integration</w:t>
            </w:r>
          </w:p>
        </w:tc>
      </w:tr>
    </w:tbl>
    <w:p>
      <w:pPr>
        <w:pStyle w:val="Heading1"/>
      </w:pPr>
      <w:r>
        <w:t>3. Build Scope</w:t>
      </w:r>
    </w:p>
    <w:p>
      <w:pPr>
        <w:pStyle w:val="ListBullet"/>
      </w:pPr>
      <w:r>
        <w:t>Backend service with environment configuration.</w:t>
      </w:r>
    </w:p>
    <w:p>
      <w:pPr>
        <w:pStyle w:val="ListBullet"/>
      </w:pPr>
      <w:r>
        <w:t>PostgreSQL migrations.</w:t>
      </w:r>
    </w:p>
    <w:p>
      <w:pPr>
        <w:pStyle w:val="ListBullet"/>
      </w:pPr>
      <w:r>
        <w:t>All Master PRD entities.</w:t>
      </w:r>
    </w:p>
    <w:p>
      <w:pPr>
        <w:pStyle w:val="ListBullet"/>
      </w:pPr>
      <w:r>
        <w:t>Role/organization context for seeded auth.</w:t>
      </w:r>
    </w:p>
    <w:p>
      <w:pPr>
        <w:pStyle w:val="ListBullet"/>
      </w:pPr>
      <w:r>
        <w:t>Truck/shipment/capacity state transitions.</w:t>
      </w:r>
    </w:p>
    <w:p>
      <w:pPr>
        <w:pStyle w:val="ListBullet"/>
      </w:pPr>
      <w:r>
        <w:t>Incident/recovery/payment/event APIs.</w:t>
      </w:r>
    </w:p>
    <w:p>
      <w:pPr>
        <w:pStyle w:val="ListBullet"/>
      </w:pPr>
      <w:r>
        <w:t>Realtime WebSocket/SSE channel.</w:t>
      </w:r>
    </w:p>
    <w:p>
      <w:pPr>
        <w:pStyle w:val="ListBullet"/>
      </w:pPr>
      <w:r>
        <w:t>Demo seed/reset.</w:t>
      </w:r>
    </w:p>
    <w:p>
      <w:pPr>
        <w:pStyle w:val="ListBullet"/>
      </w:pPr>
      <w:r>
        <w:t>Health endpoint.</w:t>
      </w:r>
    </w:p>
    <w:p>
      <w:pPr>
        <w:pStyle w:val="Heading1"/>
      </w:pPr>
      <w:r>
        <w:t>4. Required API Behavior</w:t>
      </w:r>
    </w:p>
    <w:p>
      <w:pPr>
        <w:pStyle w:val="ListBullet"/>
      </w:pPr>
      <w:r>
        <w:t>POST /auth/demo-login returns a seeded user/session context.</w:t>
      </w:r>
    </w:p>
    <w:p>
      <w:pPr>
        <w:pStyle w:val="ListBullet"/>
      </w:pPr>
      <w:r>
        <w:t>POST /trucks validates capacity and organization.</w:t>
      </w:r>
    </w:p>
    <w:p>
      <w:pPr>
        <w:pStyle w:val="ListBullet"/>
      </w:pPr>
      <w:r>
        <w:t>POST /shipments validates weight and route.</w:t>
      </w:r>
    </w:p>
    <w:p>
      <w:pPr>
        <w:pStyle w:val="ListBullet"/>
      </w:pPr>
      <w:r>
        <w:t>GET /capacity returns only available compatible capacity.</w:t>
      </w:r>
    </w:p>
    <w:p>
      <w:pPr>
        <w:pStyle w:val="ListBullet"/>
      </w:pPr>
      <w:r>
        <w:t>POST /capacity/:id/reserve atomically reserves capacity.</w:t>
      </w:r>
    </w:p>
    <w:p>
      <w:pPr>
        <w:pStyle w:val="ListBullet"/>
      </w:pPr>
      <w:r>
        <w:t>POST /trucks/:id/depart changes truck/shipment state.</w:t>
      </w:r>
    </w:p>
    <w:p>
      <w:pPr>
        <w:pStyle w:val="ListBullet"/>
      </w:pPr>
      <w:r>
        <w:t>POST /incidents creates an incident and event.</w:t>
      </w:r>
    </w:p>
    <w:p>
      <w:pPr>
        <w:pStyle w:val="ListBullet"/>
      </w:pPr>
      <w:r>
        <w:t>Recovery approval/execution enforce state machine.</w:t>
      </w:r>
    </w:p>
    <w:p>
      <w:pPr>
        <w:pStyle w:val="ListBullet"/>
      </w:pPr>
      <w:r>
        <w:t>Webhooks are authenticated/verified where provider supports it.</w:t>
      </w:r>
    </w:p>
    <w:p>
      <w:pPr>
        <w:pStyle w:val="Heading1"/>
      </w:pPr>
      <w:r>
        <w:t>5. Transaction Rules</w:t>
      </w:r>
    </w:p>
    <w:p>
      <w:pPr>
        <w:pStyle w:val="ListBullet"/>
      </w:pPr>
      <w:r>
        <w:t>Capacity reservation must be atomic.</w:t>
      </w:r>
    </w:p>
    <w:p>
      <w:pPr>
        <w:pStyle w:val="ListBullet"/>
      </w:pPr>
      <w:r>
        <w:t>Recovery execution must be idempotent.</w:t>
      </w:r>
    </w:p>
    <w:p>
      <w:pPr>
        <w:pStyle w:val="ListBullet"/>
      </w:pPr>
      <w:r>
        <w:t>Payment status cannot be set to PAID by frontend.</w:t>
      </w:r>
    </w:p>
    <w:p>
      <w:pPr>
        <w:pStyle w:val="ListBullet"/>
      </w:pPr>
      <w:r>
        <w:t>Event append and state transition should be consistent.</w:t>
      </w:r>
    </w:p>
    <w:p>
      <w:pPr>
        <w:pStyle w:val="ListBullet"/>
      </w:pPr>
      <w:r>
        <w:t>Realtime event should be emitted after successful commit.</w:t>
      </w:r>
    </w:p>
    <w:p>
      <w:pPr>
        <w:pStyle w:val="Heading1"/>
      </w:pPr>
      <w:r>
        <w:t>6. Seed Scenario</w:t>
      </w:r>
    </w:p>
    <w:p>
      <w:pPr>
        <w:pStyle w:val="ListBullet"/>
      </w:pPr>
      <w:r>
        <w:t>ABC Distributors.</w:t>
      </w:r>
    </w:p>
    <w:p>
      <w:pPr>
        <w:pStyle w:val="ListBullet"/>
      </w:pPr>
      <w:r>
        <w:t>FG-027: Bengaluru → Chennai, 10T capacity, 6.2T loaded, 3.8T spare.</w:t>
      </w:r>
    </w:p>
    <w:p>
      <w:pPr>
        <w:pStyle w:val="ListBullet"/>
      </w:pPr>
      <w:r>
        <w:t>FG-041: nearby recovery truck, 3.1T spare.</w:t>
      </w:r>
    </w:p>
    <w:p>
      <w:pPr>
        <w:pStyle w:val="ListBullet"/>
      </w:pPr>
      <w:r>
        <w:t>FG-052: second recovery truck, 5.0T spare.</w:t>
      </w:r>
    </w:p>
    <w:p>
      <w:pPr>
        <w:pStyle w:val="ListBullet"/>
      </w:pPr>
      <w:r>
        <w:t>1T electronics shipment.</w:t>
      </w:r>
    </w:p>
    <w:p>
      <w:pPr>
        <w:pStyle w:val="ListBullet"/>
      </w:pPr>
      <w:r>
        <w:t>Hosur breakdown incident scenario.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Fresh database migrates successfully.</w:t>
      </w:r>
    </w:p>
    <w:p>
      <w:pPr>
        <w:pStyle w:val="ListBullet"/>
      </w:pPr>
      <w:r>
        <w:t>Seed creates the exact demo scenario.</w:t>
      </w:r>
    </w:p>
    <w:p>
      <w:pPr>
        <w:pStyle w:val="ListBullet"/>
      </w:pPr>
      <w:r>
        <w:t>Reset restores the same scenario.</w:t>
      </w:r>
    </w:p>
    <w:p>
      <w:pPr>
        <w:pStyle w:val="ListBullet"/>
      </w:pPr>
      <w:r>
        <w:t>Capacity reservation decreases available capacity correctly.</w:t>
      </w:r>
    </w:p>
    <w:p>
      <w:pPr>
        <w:pStyle w:val="ListBullet"/>
      </w:pPr>
      <w:r>
        <w:t>Departure changes shipment to IN_TRANSIT.</w:t>
      </w:r>
    </w:p>
    <w:p>
      <w:pPr>
        <w:pStyle w:val="ListBullet"/>
      </w:pPr>
      <w:r>
        <w:t>Incident appears immediately through API and realtime.</w:t>
      </w:r>
    </w:p>
    <w:p>
      <w:pPr>
        <w:pStyle w:val="ListBullet"/>
      </w:pPr>
      <w:r>
        <w:t>Approval cannot be bypassed.</w:t>
      </w:r>
    </w:p>
    <w:p>
      <w:pPr>
        <w:pStyle w:val="ListBullet"/>
      </w:pPr>
      <w:r>
        <w:t>Recovery reassigns shipment/cargo consistently.</w:t>
      </w:r>
    </w:p>
    <w:p>
      <w:pPr>
        <w:pStyle w:val="ListBullet"/>
      </w:pPr>
      <w:r>
        <w:t>Timeline contains state changes.</w:t>
      </w:r>
    </w:p>
    <w:p>
      <w:pPr>
        <w:pStyle w:val="ListBullet"/>
      </w:pPr>
      <w:r>
        <w:t>Three clients can connect to one backend and observe the same state.</w:t>
      </w:r>
    </w:p>
    <w:p>
      <w:pPr>
        <w:pStyle w:val="Heading1"/>
      </w:pPr>
      <w:r>
        <w:t>8. Do Not Build</w:t>
      </w:r>
    </w:p>
    <w:p>
      <w:pPr>
        <w:pStyle w:val="ListBullet"/>
      </w:pPr>
      <w:r>
        <w:t>Complex production auth/KYC.</w:t>
      </w:r>
    </w:p>
    <w:p>
      <w:pPr>
        <w:pStyle w:val="ListBullet"/>
      </w:pPr>
      <w:r>
        <w:t>Microservice sprawl.</w:t>
      </w:r>
    </w:p>
    <w:p>
      <w:pPr>
        <w:pStyle w:val="ListBullet"/>
      </w:pPr>
      <w:r>
        <w:t>Event-sourcing framework unless already trivial.</w:t>
      </w:r>
    </w:p>
    <w:p>
      <w:pPr>
        <w:pStyle w:val="ListBullet"/>
      </w:pPr>
      <w:r>
        <w:t>Real GPS hardware.</w:t>
      </w:r>
    </w:p>
    <w:p>
      <w:pPr>
        <w:pStyle w:val="ListBullet"/>
      </w:pPr>
      <w:r>
        <w:t>Full route optimization engine.</w:t>
      </w:r>
    </w:p>
    <w:p>
      <w:pPr>
        <w:pStyle w:val="ListBullet"/>
      </w:pPr>
      <w:r>
        <w:t>Unbounded schema flexibility.</w:t>
      </w:r>
    </w:p>
    <w:p>
      <w:pPr>
        <w:pStyle w:val="Heading1"/>
      </w:pPr>
      <w:r>
        <w:t>Final Handoff Checklist</w:t>
      </w:r>
    </w:p>
    <w:p>
      <w:pPr>
        <w:pStyle w:val="ListBullet"/>
      </w:pPr>
      <w:r>
        <w:t>Code is committed/merged cleanly.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All required environment variables are documented.</w:t>
      </w:r>
    </w:p>
    <w:p>
      <w:pPr>
        <w:pStyle w:val="ListBullet"/>
      </w:pPr>
      <w:r>
        <w:t>Acceptance tests pass.</w:t>
      </w:r>
    </w:p>
    <w:p>
      <w:pPr>
        <w:pStyle w:val="ListBullet"/>
      </w:pPr>
      <w:r>
        <w:t>API/UI contracts match the Master PRD.</w:t>
      </w:r>
    </w:p>
    <w:p>
      <w:pPr>
        <w:pStyle w:val="ListBullet"/>
      </w:pPr>
      <w:r>
        <w:t>Known limitations are documented.</w:t>
      </w:r>
    </w:p>
    <w:p>
      <w:pPr>
        <w:pStyle w:val="ListBullet"/>
      </w:pPr>
      <w:r>
        <w:t>Integration owner can run the workstream without asking for undocumented setup steps.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