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FLEETGRID — Person 4 — ElevenLabs / Driver / Integrations PRD</w:t>
      </w:r>
    </w:p>
    <w:p>
      <w:pPr>
        <w:jc w:val="center"/>
      </w:pPr>
      <w:r>
        <w:rPr>
          <w:i/>
          <w:sz w:val="20"/>
        </w:rPr>
        <w:t>FleetGrid • EmberGround AI Hackathon 2026 • Coding-Agent Build Specification</w:t>
      </w:r>
    </w:p>
    <w:p>
      <w:pPr>
        <w:pStyle w:val="Heading1"/>
      </w:pPr>
      <w:r>
        <w:t>1. Role &amp; Mission</w:t>
      </w:r>
    </w:p>
    <w:p>
      <w:r>
        <w:t>Own the driver experience and ElevenLabs voice path. A natural spoken incident must become a structured FleetGrid incident and trigger the shared backend workflow.</w:t>
      </w:r>
    </w:p>
    <w:p>
      <w:pPr>
        <w:pStyle w:val="Heading1"/>
      </w:pPr>
      <w:r>
        <w:t>2.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Owner</w:t>
            </w:r>
          </w:p>
        </w:tc>
      </w:tr>
      <w:tr>
        <w:tc>
          <w:tcPr>
            <w:tcW w:type="dxa" w:w="5112"/>
          </w:tcPr>
          <w:p>
            <w:r>
              <w:t>Primary owner</w:t>
            </w:r>
          </w:p>
        </w:tc>
        <w:tc>
          <w:tcPr>
            <w:tcW w:type="dxa" w:w="5112"/>
          </w:tcPr>
          <w:p>
            <w:r>
              <w:t>Person 4 — ElevenLabs / Driver / Integrations</w:t>
            </w:r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>
              <w:t>Person 2 incident API; Person 1 agent workflow; Person 3 driver UI/realtime.</w:t>
            </w:r>
          </w:p>
        </w:tc>
      </w:tr>
      <w:tr>
        <w:tc>
          <w:tcPr>
            <w:tcW w:type="dxa" w:w="5112"/>
          </w:tcPr>
          <w:p>
            <w:r>
              <w:t>Authority</w:t>
            </w:r>
          </w:p>
        </w:tc>
        <w:tc>
          <w:tcPr>
            <w:tcW w:type="dxa" w:w="5112"/>
          </w:tcPr>
          <w:p>
            <w:r>
              <w:t>Master PRD + this workstream PRD</w:t>
            </w:r>
          </w:p>
        </w:tc>
      </w:tr>
      <w:tr>
        <w:tc>
          <w:tcPr>
            <w:tcW w:type="dxa" w:w="5112"/>
          </w:tcPr>
          <w:p>
            <w:r>
              <w:t>Handoff</w:t>
            </w:r>
          </w:p>
        </w:tc>
        <w:tc>
          <w:tcPr>
            <w:tcW w:type="dxa" w:w="5112"/>
          </w:tcPr>
          <w:p>
            <w:r>
              <w:t>Document contracts and test evidence before integration</w:t>
            </w:r>
          </w:p>
        </w:tc>
      </w:tr>
    </w:tbl>
    <w:p>
      <w:pPr>
        <w:pStyle w:val="Heading1"/>
      </w:pPr>
      <w:r>
        <w:t>3. Driver UI</w:t>
      </w:r>
    </w:p>
    <w:p>
      <w:pPr>
        <w:pStyle w:val="ListBullet"/>
      </w:pPr>
      <w:r>
        <w:t>Driver identity and assigned truck.</w:t>
      </w:r>
    </w:p>
    <w:p>
      <w:pPr>
        <w:pStyle w:val="ListBullet"/>
      </w:pPr>
      <w:r>
        <w:t>Current route and truck status.</w:t>
      </w:r>
    </w:p>
    <w:p>
      <w:pPr>
        <w:pStyle w:val="ListBullet"/>
      </w:pPr>
      <w:r>
        <w:t>Available capacity.</w:t>
      </w:r>
    </w:p>
    <w:p>
      <w:pPr>
        <w:pStyle w:val="ListBullet"/>
      </w:pPr>
      <w:r>
        <w:t>Start Journey button.</w:t>
      </w:r>
    </w:p>
    <w:p>
      <w:pPr>
        <w:pStyle w:val="ListBullet"/>
      </w:pPr>
      <w:r>
        <w:t>Voice interaction area.</w:t>
      </w:r>
    </w:p>
    <w:p>
      <w:pPr>
        <w:pStyle w:val="ListBullet"/>
      </w:pPr>
      <w:r>
        <w:t>Transcript/incident confirmation.</w:t>
      </w:r>
    </w:p>
    <w:p>
      <w:pPr>
        <w:pStyle w:val="ListBullet"/>
      </w:pPr>
      <w:r>
        <w:t>Recovery instruction.</w:t>
      </w:r>
    </w:p>
    <w:p>
      <w:pPr>
        <w:pStyle w:val="ListBullet"/>
      </w:pPr>
      <w:r>
        <w:t>Cargo handoff confirmation.</w:t>
      </w:r>
    </w:p>
    <w:p>
      <w:pPr>
        <w:pStyle w:val="ListBullet"/>
      </w:pPr>
      <w:r>
        <w:t>Connection/service status.</w:t>
      </w:r>
    </w:p>
    <w:p>
      <w:pPr>
        <w:pStyle w:val="Heading1"/>
      </w:pPr>
      <w:r>
        <w:t>4. ElevenLabs Conversation Contract</w:t>
      </w:r>
    </w:p>
    <w:p>
      <w:pPr>
        <w:pStyle w:val="ListBullet"/>
      </w:pPr>
      <w:r>
        <w:t>System identifies the driver/truck context.</w:t>
      </w:r>
    </w:p>
    <w:p>
      <w:pPr>
        <w:pStyle w:val="ListBullet"/>
      </w:pPr>
      <w:r>
        <w:t>Driver can report incident naturally, including mixed English/Hinglish.</w:t>
      </w:r>
    </w:p>
    <w:p>
      <w:pPr>
        <w:pStyle w:val="ListBullet"/>
      </w:pPr>
      <w:r>
        <w:t>Agent extracts incident type, approximate location, severity and useful transcript.</w:t>
      </w:r>
    </w:p>
    <w:p>
      <w:pPr>
        <w:pStyle w:val="ListBullet"/>
      </w:pPr>
      <w:r>
        <w:t>Agent confirms understanding before finalizing if required.</w:t>
      </w:r>
    </w:p>
    <w:p>
      <w:pPr>
        <w:pStyle w:val="ListBullet"/>
      </w:pPr>
      <w:r>
        <w:t>Structured incident is sent to FleetGrid backend via supported integration/tool/webhook.</w:t>
      </w:r>
    </w:p>
    <w:p>
      <w:pPr>
        <w:pStyle w:val="ListBullet"/>
      </w:pPr>
      <w:r>
        <w:t>Backend remains authoritative for incident creation.</w:t>
      </w:r>
    </w:p>
    <w:p>
      <w:pPr>
        <w:pStyle w:val="Heading1"/>
      </w:pPr>
      <w:r>
        <w:t>5. Example Voice</w:t>
      </w:r>
    </w:p>
    <w:p>
      <w:pPr>
        <w:pStyle w:val="ListBullet"/>
      </w:pPr>
      <w:r>
        <w:t>Input: “Truck breakdown ho gaya. Hosur ke paas hoon. Engine start nahi ho raha.”</w:t>
      </w:r>
    </w:p>
    <w:p>
      <w:pPr>
        <w:pStyle w:val="ListBullet"/>
      </w:pPr>
      <w:r>
        <w:t>Expected structured result: truck FG-027, incident_type=BREAKDOWN, location=Hosur, severity=HIGH, transcript preserved, summary generated.</w:t>
      </w:r>
    </w:p>
    <w:p>
      <w:pPr>
        <w:pStyle w:val="Heading1"/>
      </w:pPr>
      <w:r>
        <w:t>6. Failure Handling</w:t>
      </w:r>
    </w:p>
    <w:p>
      <w:pPr>
        <w:pStyle w:val="ListBullet"/>
      </w:pPr>
      <w:r>
        <w:t>If ElevenLabs is unavailable, Driver UI must provide a text incident fallback.</w:t>
      </w:r>
    </w:p>
    <w:p>
      <w:pPr>
        <w:pStyle w:val="ListBullet"/>
      </w:pPr>
      <w:r>
        <w:t>If webhook fails, show pending/error and allow retry.</w:t>
      </w:r>
    </w:p>
    <w:p>
      <w:pPr>
        <w:pStyle w:val="ListBullet"/>
      </w:pPr>
      <w:r>
        <w:t>Do not create duplicate incidents from repeated webhook delivery.</w:t>
      </w:r>
    </w:p>
    <w:p>
      <w:pPr>
        <w:pStyle w:val="ListBullet"/>
      </w:pPr>
      <w:r>
        <w:t>Do not claim voice succeeded when backend did not persist the incident.</w:t>
      </w:r>
    </w:p>
    <w:p>
      <w:pPr>
        <w:pStyle w:val="Heading1"/>
      </w:pPr>
      <w:r>
        <w:t>7. Acceptance Criteria</w:t>
      </w:r>
    </w:p>
    <w:p>
      <w:pPr>
        <w:pStyle w:val="ListBullet"/>
      </w:pPr>
      <w:r>
        <w:t>Voice interaction works with the seeded driver.</w:t>
      </w:r>
    </w:p>
    <w:p>
      <w:pPr>
        <w:pStyle w:val="ListBullet"/>
      </w:pPr>
      <w:r>
        <w:t>Structured incident reaches backend.</w:t>
      </w:r>
    </w:p>
    <w:p>
      <w:pPr>
        <w:pStyle w:val="ListBullet"/>
      </w:pPr>
      <w:r>
        <w:t>Control Tower receives incident event.</w:t>
      </w:r>
    </w:p>
    <w:p>
      <w:pPr>
        <w:pStyle w:val="ListBullet"/>
      </w:pPr>
      <w:r>
        <w:t>Agent workflow starts from that incident.</w:t>
      </w:r>
    </w:p>
    <w:p>
      <w:pPr>
        <w:pStyle w:val="ListBullet"/>
      </w:pPr>
      <w:r>
        <w:t>Driver receives recovery instruction after approved recovery.</w:t>
      </w:r>
    </w:p>
    <w:p>
      <w:pPr>
        <w:pStyle w:val="ListBullet"/>
      </w:pPr>
      <w:r>
        <w:t>Text fallback works.</w:t>
      </w:r>
    </w:p>
    <w:p>
      <w:pPr>
        <w:pStyle w:val="Heading1"/>
      </w:pPr>
      <w:r>
        <w:t>8. Integration Documentation</w:t>
      </w:r>
    </w:p>
    <w:p>
      <w:pPr>
        <w:pStyle w:val="ListBullet"/>
      </w:pPr>
      <w:r>
        <w:t>Document ElevenLabs agent ID/config.</w:t>
      </w:r>
    </w:p>
    <w:p>
      <w:pPr>
        <w:pStyle w:val="ListBullet"/>
      </w:pPr>
      <w:r>
        <w:t>Document webhook/tool URL and expected payload.</w:t>
      </w:r>
    </w:p>
    <w:p>
      <w:pPr>
        <w:pStyle w:val="ListBullet"/>
      </w:pPr>
      <w:r>
        <w:t>Document required secrets.</w:t>
      </w:r>
    </w:p>
    <w:p>
      <w:pPr>
        <w:pStyle w:val="ListBullet"/>
      </w:pPr>
      <w:r>
        <w:t>Document local test procedure.</w:t>
      </w:r>
    </w:p>
    <w:p>
      <w:pPr>
        <w:pStyle w:val="ListBullet"/>
      </w:pPr>
      <w:r>
        <w:t>Document fallback mode.</w:t>
      </w:r>
    </w:p>
    <w:p>
      <w:pPr>
        <w:pStyle w:val="Heading1"/>
      </w:pPr>
      <w:r>
        <w:t>9. Do Not Build</w:t>
      </w:r>
    </w:p>
    <w:p>
      <w:pPr>
        <w:pStyle w:val="ListBullet"/>
      </w:pPr>
      <w:r>
        <w:t>General-purpose voice assistant.</w:t>
      </w:r>
    </w:p>
    <w:p>
      <w:pPr>
        <w:pStyle w:val="ListBullet"/>
      </w:pPr>
      <w:r>
        <w:t>Multiple voice agents.</w:t>
      </w:r>
    </w:p>
    <w:p>
      <w:pPr>
        <w:pStyle w:val="ListBullet"/>
      </w:pPr>
      <w:r>
        <w:t>Voice-based payments.</w:t>
      </w:r>
    </w:p>
    <w:p>
      <w:pPr>
        <w:pStyle w:val="ListBullet"/>
      </w:pPr>
      <w:r>
        <w:t>Voice-based autonomous recovery approval.</w:t>
      </w:r>
    </w:p>
    <w:p>
      <w:pPr>
        <w:pStyle w:val="Heading1"/>
      </w:pPr>
      <w:r>
        <w:t>Final Handoff Checklist</w:t>
      </w:r>
    </w:p>
    <w:p>
      <w:pPr>
        <w:pStyle w:val="ListBullet"/>
      </w:pPr>
      <w:r>
        <w:t>Code is committed/merged cleanly.</w:t>
      </w:r>
    </w:p>
    <w:p>
      <w:pPr>
        <w:pStyle w:val="ListBullet"/>
      </w:pPr>
      <w:r>
        <w:t>No secrets committed.</w:t>
      </w:r>
    </w:p>
    <w:p>
      <w:pPr>
        <w:pStyle w:val="ListBullet"/>
      </w:pPr>
      <w:r>
        <w:t>All required environment variables are documented.</w:t>
      </w:r>
    </w:p>
    <w:p>
      <w:pPr>
        <w:pStyle w:val="ListBullet"/>
      </w:pPr>
      <w:r>
        <w:t>Acceptance tests pass.</w:t>
      </w:r>
    </w:p>
    <w:p>
      <w:pPr>
        <w:pStyle w:val="ListBullet"/>
      </w:pPr>
      <w:r>
        <w:t>API/UI contracts match the Master PRD.</w:t>
      </w:r>
    </w:p>
    <w:p>
      <w:pPr>
        <w:pStyle w:val="ListBullet"/>
      </w:pPr>
      <w:r>
        <w:t>Known limitations are documented.</w:t>
      </w:r>
    </w:p>
    <w:p>
      <w:pPr>
        <w:pStyle w:val="ListBullet"/>
      </w:pPr>
      <w:r>
        <w:t>Integration owner can run the workstream without asking for undocumented setup steps.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