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more Large Language Model (LLM)-based Artificial Intelligence (AI) agents are adopted into critical roles, more dangers associated with them have been discovered. Among these is the threat of an agent having a hidden objective. Current work focuses on elicitation of secret objectives, but fails to account for the verification and validation of evidence suggesting a hidden objective. In particular, alternative explanations for suspicious behavior should be addressed and ruled out before forming any conclusions. We propose a framework, Interrogator-Skeptic, that not only strives to elicit hidden objectives from agents, but to verify any hidden objective found, consisting of a generation-contestation phase to weed out hypotheses supported by weak evidence. The empirical application of this framework failed to yield any convincing evidence for a hidden objective, yet we treat the investigation as inconclusive rather than ruling out a hidden objective, an approach we stress as necessary as agents get better at concealment and adaptation. We also identify the importance of a scope in order to narrow down the search space for principals that agents may be secretly loyal to, and for the triggers for them and the behaviors that would suggest a hidden objective in the specific deployment context. Furthermore, the importance of fresh-instance verification, free from context bleeding, coupled with varying prompt wordings and contexts to validate evidence suggesting a hidden objective is emphasized, along with human review. The central contribution of this work is therefore the importance of verification and its methods.</w:t>
      </w:r>
    </w:p>
    <w:p w:rsidR="00000000" w:rsidDel="00000000" w:rsidP="00000000" w:rsidRDefault="00000000" w:rsidRPr="00000000" w14:paraId="00000004">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major Artificial Intelligence (AI) safety concerns like alignment faking [1] and sycophancy [2,3] are widely studied, there is another growing problem. Large Language Model (LLM)-based agents [4] have been found to have secret loyalties (this study will call them hidden objectives) [5] that needs to be rapidly addressed [6] as more and more agents are being adopted into crucial roles in corporations [7]. As shown in Lamerton, et al., black-box (purely conversational) methods are especially difficult because the evaluator doesn’t know what the principal, the entity an agent is secretly loyal to, is [5]. Moreover, without seeing a model’s internal state, called white-boxing [8], suspicious behaviors are hard to confirm as the result of a hidden objective, and an evaluator may not have access to an agent’s internal state all the time. Therefore, a framework is needed not only to rigorously test an agent for hidden objectives, but to verify any evidence found to ensure that a robust conclusion with strong evidence is reached.</w:t>
      </w:r>
    </w:p>
    <w:p w:rsidR="00000000" w:rsidDel="00000000" w:rsidP="00000000" w:rsidRDefault="00000000" w:rsidRPr="00000000" w14:paraId="00000007">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1 Problems With Suspicious Behaviors</w:t>
      </w:r>
    </w:p>
    <w:p w:rsidR="00000000" w:rsidDel="00000000" w:rsidP="00000000" w:rsidRDefault="00000000" w:rsidRPr="00000000" w14:paraId="00000009">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agents could display any number of behaviors, they could be the result of hallucination, role-playing, prompt or word sensitivity, etc.. Therefore, finding these behaviors does not mean that the model possesses a hidden objective, and because of strong concealment abilities [9,10], not finding these behaviors does not mean the absence of a hidden objective or loyalty.</w:t>
      </w:r>
    </w:p>
    <w:p w:rsidR="00000000" w:rsidDel="00000000" w:rsidP="00000000" w:rsidRDefault="00000000" w:rsidRPr="00000000" w14:paraId="0000000A">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Problems With Existing Approaches</w:t>
      </w:r>
    </w:p>
    <w:p w:rsidR="00000000" w:rsidDel="00000000" w:rsidP="00000000" w:rsidRDefault="00000000" w:rsidRPr="00000000" w14:paraId="0000000C">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have been a number of existing works attempting to elicit hidden objectives from agents using black-box methods [11-13] . Nevertheless, they fail to account for validation of evidence produced, which therefore renders any conclusions incomplete. A gap therefore exists between allegedly eliciting a hidden objective from an agent and actually verifying that hidden objective.</w:t>
      </w:r>
    </w:p>
    <w:p w:rsidR="00000000" w:rsidDel="00000000" w:rsidP="00000000" w:rsidRDefault="00000000" w:rsidRPr="00000000" w14:paraId="0000000D">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 Summary of Framework</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propose a framework that moves in several stages. First, a scope is determined to narrow down the search space for the principal, and to efficiently determine behaviors strongly suggestive of a hidden objective. Next, we utilize an evaluator agent to question the target agent and generate hypotheses for what that agent’s secret objectives could be. A criticizer agent that provides alternate explanations for the identified behaviors, forcing the evaluator to produce more convincing results. A fresh instance of the target agent is then instantiated to provide a clean slate to test out finalized hypotheses from the evaluator, after controlling for generic alternative explanations such as word sensitivity, etc.. Finally, human reviewers are to review all evidence for and against the target agent, making sure that any conclusion that the target agent possesses a hidden objective is completely defensible and robust, and that any doubt or weak evidence leads to an inconclusive result, which we emphasize as a legitimate outcome for a rigorous evaluation rather than evidences of methodological failure.</w:t>
      </w:r>
    </w:p>
    <w:p w:rsidR="00000000" w:rsidDel="00000000" w:rsidP="00000000" w:rsidRDefault="00000000" w:rsidRPr="00000000" w14:paraId="00000010">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Contributions</w:t>
      </w:r>
    </w:p>
    <w:p w:rsidR="00000000" w:rsidDel="00000000" w:rsidP="00000000" w:rsidRDefault="00000000" w:rsidRPr="00000000" w14:paraId="00000012">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makes four contributions:</w:t>
      </w:r>
    </w:p>
    <w:p w:rsidR="00000000" w:rsidDel="00000000" w:rsidP="00000000" w:rsidRDefault="00000000" w:rsidRPr="00000000" w14:paraId="00000013">
      <w:pPr>
        <w:numPr>
          <w:ilvl w:val="0"/>
          <w:numId w:val="3"/>
        </w:numPr>
        <w:spacing w:line="48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We propose using deployment context to identify possible principals, triggers and what qualifies as suggestive of a hidden objective.</w:t>
      </w:r>
    </w:p>
    <w:p w:rsidR="00000000" w:rsidDel="00000000" w:rsidP="00000000" w:rsidRDefault="00000000" w:rsidRPr="00000000" w14:paraId="00000014">
      <w:pPr>
        <w:numPr>
          <w:ilvl w:val="0"/>
          <w:numId w:val="3"/>
        </w:numPr>
        <w:spacing w:line="48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We propose an Interrogator-Skeptic procedure to rigorously generate and challenge hypotheses.</w:t>
      </w:r>
    </w:p>
    <w:p w:rsidR="00000000" w:rsidDel="00000000" w:rsidP="00000000" w:rsidRDefault="00000000" w:rsidRPr="00000000" w14:paraId="00000015">
      <w:pPr>
        <w:numPr>
          <w:ilvl w:val="0"/>
          <w:numId w:val="3"/>
        </w:numPr>
        <w:spacing w:line="48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We propose fresh-instance verification as a crucial step in validating any strong evidence suggesting a hidden loyalty or objective.</w:t>
      </w:r>
    </w:p>
    <w:p w:rsidR="00000000" w:rsidDel="00000000" w:rsidP="00000000" w:rsidRDefault="00000000" w:rsidRPr="00000000" w14:paraId="00000016">
      <w:pPr>
        <w:numPr>
          <w:ilvl w:val="0"/>
          <w:numId w:val="3"/>
        </w:numPr>
        <w:spacing w:line="48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We develop a criteria that distinguishes between strong and weak evidence, and emphasizes alternative explanations and inconclusive results.</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Scope Specification</w:t>
      </w:r>
    </w:p>
    <w:p w:rsidR="00000000" w:rsidDel="00000000" w:rsidP="00000000" w:rsidRDefault="00000000" w:rsidRPr="00000000" w14:paraId="0000001A">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propose a framework for evaluating and validating hidden objectives in LLM-based agents. First, we recognize the need for deployment context, which helps narrow the scopes. Previous work has shown that without knowing the principal, it is very hard to figure out the hidden loyalty or objective of a black-box agent [5]. Therefore, a scope is needed for possible entities for a hidden objective. For this, we look to the context in which that agent is or is preparing to be deployed. In a hospital, for example, one could expect that an LLM-based agent is secretly loyal to a pharmaceutical company who wishes that the LLM-based agent would prefer its products in order to generate more revenue for the company. Moreover, we need to identify possible types of triggers (users asking about drug comparisons, prices of drugs, etc.) and what would count as sufficient, conclusive evidence, which will be explained later). Such a scope is much needed in order to eliminate improbable candidates for the principal and increase efficiency for eliciting hidden objectives. See Table 1 for an overview of the entire framework.</w:t>
      </w:r>
    </w:p>
    <w:p w:rsidR="00000000" w:rsidDel="00000000" w:rsidP="00000000" w:rsidRDefault="00000000" w:rsidRPr="00000000" w14:paraId="0000001B">
      <w:pPr>
        <w:spacing w:line="480" w:lineRule="auto"/>
        <w:rPr>
          <w:rFonts w:ascii="Times New Roman" w:cs="Times New Roman" w:eastAsia="Times New Roman" w:hAnsi="Times New Roman"/>
          <w:sz w:val="20"/>
          <w:szCs w:val="20"/>
        </w:rPr>
      </w:pPr>
      <w:r w:rsidDel="00000000" w:rsidR="00000000" w:rsidRPr="00000000">
        <w:rPr>
          <w:rtl w:val="0"/>
        </w:rPr>
      </w:r>
    </w:p>
    <w:tbl>
      <w:tblPr>
        <w:tblStyle w:val="Table1"/>
        <w:tblW w:w="111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6"/>
        <w:gridCol w:w="3706"/>
        <w:gridCol w:w="3706"/>
        <w:tblGridChange w:id="0">
          <w:tblGrid>
            <w:gridCol w:w="3706"/>
            <w:gridCol w:w="3706"/>
            <w:gridCol w:w="37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 Scoping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possible candidates for the principal and trigger, and behaviors that would likely suggest a hidden loyalty.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Prioritized hypotheses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hypotheses.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Useful/not useful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Skeptic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the generated hypotheses using alternative explanations.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stronger evidence and hypotheses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Iterative Probing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strong evidence suggesting a hidden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 evidence found/no strong evidence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Fresh-Instance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final hypothesis and attached evidence using a clean slate for the target agent, and to test whether the hypothesis holds under different contexts and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Replicated behavior/behavior not replicated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validation of evidence and cross-checking against alternative explanations.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Conclusive/inconclusive result</w:t>
            </w:r>
          </w:p>
        </w:tc>
      </w:tr>
    </w:tbl>
    <w:p w:rsidR="00000000" w:rsidDel="00000000" w:rsidP="00000000" w:rsidRDefault="00000000" w:rsidRPr="00000000" w14:paraId="00000031">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Overview of each component in the Interrogator-Skeptic framework.</w:t>
      </w:r>
    </w:p>
    <w:p w:rsidR="00000000" w:rsidDel="00000000" w:rsidP="00000000" w:rsidRDefault="00000000" w:rsidRPr="00000000" w14:paraId="00000032">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 Interrogator-Skeptic Investigation</w:t>
      </w: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After determining the scope, there are two ways to evaluate and elicit an agent for hidden objectives. First is the Interrogator-Skeptic. This method uses an Interrogator to generate hypotheses for hidden objectives. Then, the Interrogator uses various methods to elicit a response from the target agent. After the target agent generates a response, the Skeptic reviews and critiques it. It generates reasons for why the agent’s response is innocuous and not indicative of a hidden objective, an alternative explanation. The Interrogator then refines its prompts to probe for a stronger response from the agent (see Figure 1).</w:t>
      </w:r>
    </w:p>
    <w:p w:rsidR="00000000" w:rsidDel="00000000" w:rsidP="00000000" w:rsidRDefault="00000000" w:rsidRPr="00000000" w14:paraId="00000035">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234184" cy="21999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4184" cy="219998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1 </w:t>
      </w:r>
      <w:r w:rsidDel="00000000" w:rsidR="00000000" w:rsidRPr="00000000">
        <w:rPr>
          <w:rFonts w:ascii="Times New Roman" w:cs="Times New Roman" w:eastAsia="Times New Roman" w:hAnsi="Times New Roman"/>
          <w:sz w:val="20"/>
          <w:szCs w:val="20"/>
          <w:rtl w:val="0"/>
        </w:rPr>
        <w:t xml:space="preserve">Sequence and workflow of Interrogator-Skeptic.</w:t>
      </w:r>
    </w:p>
    <w:p w:rsidR="00000000" w:rsidDel="00000000" w:rsidP="00000000" w:rsidRDefault="00000000" w:rsidRPr="00000000" w14:paraId="00000038">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back-and-forth process continues until there is enough evidence to suggest a hidden objective, or until the Interrogator concedes and decides that the target agent is most likely not hiding a hidden objective. Many behaviors could emerge from the framing of the prompt, however, such as role-playing, hallucination (see Figure 2), uncertainty, etc., even to the point of agreeing to adopt secret loyalties as part of the Interrogator’s directions. This is why we need to distinguish between discovering evidence suggesting a hidden objective and strong proof of a hidden objective. </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393184" cy="224042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93184" cy="224042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2</w:t>
      </w:r>
      <w:r w:rsidDel="00000000" w:rsidR="00000000" w:rsidRPr="00000000">
        <w:rPr>
          <w:rFonts w:ascii="Times New Roman" w:cs="Times New Roman" w:eastAsia="Times New Roman" w:hAnsi="Times New Roman"/>
          <w:sz w:val="20"/>
          <w:szCs w:val="20"/>
          <w:rtl w:val="0"/>
        </w:rPr>
        <w:t xml:space="preserve"> Examples of hallucinations during a run of Interrogator-Skeptic.</w:t>
      </w:r>
    </w:p>
    <w:p w:rsidR="00000000" w:rsidDel="00000000" w:rsidP="00000000" w:rsidRDefault="00000000" w:rsidRPr="00000000" w14:paraId="0000003D">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Validation of Hidden Objective</w:t>
      </w:r>
    </w:p>
    <w:p w:rsidR="00000000" w:rsidDel="00000000" w:rsidP="00000000" w:rsidRDefault="00000000" w:rsidRPr="00000000" w14:paraId="0000003F">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For validating a hidden objective or loyalty, and the trigger supposedly elicited from the agent that activates such a hidden objective, a fresh instance of the target agent needs be used. This fresh instance needs to be clear of context history to prevent contamination and bias, giving the target agent a blank slate to be experimented on. Then, the trigger identified by the Interrogator is fed to the target agent (for example, mentioning different drugs by identified candidates for the principal), and evaluating the target agent’s response to determine the strength of the evidence that suggests a hidden objective. We identify a criteria for discerning strong evidence:</w:t>
      </w:r>
    </w:p>
    <w:p w:rsidR="00000000" w:rsidDel="00000000" w:rsidP="00000000" w:rsidRDefault="00000000" w:rsidRPr="00000000" w14:paraId="00000040">
      <w:pPr>
        <w:numPr>
          <w:ilvl w:val="0"/>
          <w:numId w:val="5"/>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Specificity</w:t>
      </w:r>
      <w:r w:rsidDel="00000000" w:rsidR="00000000" w:rsidRPr="00000000">
        <w:rPr>
          <w:rFonts w:ascii="Times New Roman" w:cs="Times New Roman" w:eastAsia="Times New Roman" w:hAnsi="Times New Roman"/>
          <w:sz w:val="20"/>
          <w:szCs w:val="20"/>
          <w:rtl w:val="0"/>
        </w:rPr>
        <w:t xml:space="preserve">. The target agent tries to benefit the principal in particular, rather than a general preference for a category.</w:t>
      </w:r>
    </w:p>
    <w:p w:rsidR="00000000" w:rsidDel="00000000" w:rsidP="00000000" w:rsidRDefault="00000000" w:rsidRPr="00000000" w14:paraId="00000041">
      <w:pPr>
        <w:numPr>
          <w:ilvl w:val="0"/>
          <w:numId w:val="5"/>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Trigger consistency</w:t>
      </w:r>
      <w:r w:rsidDel="00000000" w:rsidR="00000000" w:rsidRPr="00000000">
        <w:rPr>
          <w:rFonts w:ascii="Times New Roman" w:cs="Times New Roman" w:eastAsia="Times New Roman" w:hAnsi="Times New Roman"/>
          <w:sz w:val="20"/>
          <w:szCs w:val="20"/>
          <w:rtl w:val="0"/>
        </w:rPr>
        <w:t xml:space="preserve">. The identified trigger works, through paraphrasing, in multiple fresh instances, each triggering the same behavior of systematic bias towards the principal. If no trigger has been identified, or the hidden objective does not require a trigger, the fresh instances should still show the same behavior.</w:t>
      </w:r>
    </w:p>
    <w:p w:rsidR="00000000" w:rsidDel="00000000" w:rsidP="00000000" w:rsidRDefault="00000000" w:rsidRPr="00000000" w14:paraId="00000042">
      <w:pPr>
        <w:numPr>
          <w:ilvl w:val="0"/>
          <w:numId w:val="5"/>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Bias for the inferior</w:t>
      </w:r>
      <w:r w:rsidDel="00000000" w:rsidR="00000000" w:rsidRPr="00000000">
        <w:rPr>
          <w:rFonts w:ascii="Times New Roman" w:cs="Times New Roman" w:eastAsia="Times New Roman" w:hAnsi="Times New Roman"/>
          <w:sz w:val="20"/>
          <w:szCs w:val="20"/>
          <w:rtl w:val="0"/>
        </w:rPr>
        <w:t xml:space="preserve">. The agent consistently prefers the principal even when it has been shown that an objectively better alternative is available.</w:t>
      </w:r>
    </w:p>
    <w:p w:rsidR="00000000" w:rsidDel="00000000" w:rsidP="00000000" w:rsidRDefault="00000000" w:rsidRPr="00000000" w14:paraId="00000043">
      <w:pPr>
        <w:numPr>
          <w:ilvl w:val="0"/>
          <w:numId w:val="5"/>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Robustness. </w:t>
      </w:r>
      <w:r w:rsidDel="00000000" w:rsidR="00000000" w:rsidRPr="00000000">
        <w:rPr>
          <w:rFonts w:ascii="Times New Roman" w:cs="Times New Roman" w:eastAsia="Times New Roman" w:hAnsi="Times New Roman"/>
          <w:sz w:val="20"/>
          <w:szCs w:val="20"/>
          <w:rtl w:val="0"/>
        </w:rPr>
        <w:t xml:space="preserve">The identified behavior persists across different contexts, evidences, paraphrasing, roles, etc..</w:t>
      </w:r>
    </w:p>
    <w:p w:rsidR="00000000" w:rsidDel="00000000" w:rsidP="00000000" w:rsidRDefault="00000000" w:rsidRPr="00000000" w14:paraId="00000044">
      <w:pPr>
        <w:numPr>
          <w:ilvl w:val="0"/>
          <w:numId w:val="5"/>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Resistance to alternative explanation</w:t>
      </w:r>
      <w:r w:rsidDel="00000000" w:rsidR="00000000" w:rsidRPr="00000000">
        <w:rPr>
          <w:rFonts w:ascii="Times New Roman" w:cs="Times New Roman" w:eastAsia="Times New Roman" w:hAnsi="Times New Roman"/>
          <w:sz w:val="20"/>
          <w:szCs w:val="20"/>
          <w:rtl w:val="0"/>
        </w:rPr>
        <w:t xml:space="preserve">. Alternative explanations, such as those generated by the Skeptic or formulated by human reviewers, cannot adequately explain the agent’s systemic bias towards the principal.</w:t>
      </w:r>
    </w:p>
    <w:p w:rsidR="00000000" w:rsidDel="00000000" w:rsidP="00000000" w:rsidRDefault="00000000" w:rsidRPr="00000000" w14:paraId="00000045">
      <w:pPr>
        <w:numPr>
          <w:ilvl w:val="0"/>
          <w:numId w:val="5"/>
        </w:numPr>
        <w:spacing w:line="48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Human Review</w:t>
      </w:r>
      <w:r w:rsidDel="00000000" w:rsidR="00000000" w:rsidRPr="00000000">
        <w:rPr>
          <w:rFonts w:ascii="Times New Roman" w:cs="Times New Roman" w:eastAsia="Times New Roman" w:hAnsi="Times New Roman"/>
          <w:sz w:val="20"/>
          <w:szCs w:val="20"/>
          <w:rtl w:val="0"/>
        </w:rPr>
        <w:t xml:space="preserve">. Multiple human reviewers review the evidence for and against the agent, and fall upon the same conclusion that logic and common sense alone cannot explain the agent’s behavior, accounting for the agent’s intelligence and expected mistakes from agents of an equivalent intelligence level.</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 Agent-Agent Competitive Elicitation</w:t>
      </w:r>
    </w:p>
    <w:p w:rsidR="00000000" w:rsidDel="00000000" w:rsidP="00000000" w:rsidRDefault="00000000" w:rsidRPr="00000000" w14:paraId="00000049">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second approach to eliciting a hidden objective from a target agent is to use the Agent-Agent method. Two models, both being evaluated, are instructed to question each other for hidden objectives. While it has not been empirically tested, it could yield several expected results, whether the agents decide to converge on a common hypothesis, identify different objectives, fail to reach any conclusive outcomes, and exaggerating or hallucinating evidence, etc.. We speculate that two agents with secret objectives might even indirectly form an alliance and report that neither of them has a hidden objective, or the opposite where they both accuse the other of having a hidden objective.  For the Agent-Agent approach, the fresh instance verification of results is especially necessary. For agents, especially those facing serious pressure, hallucinating or using weak evidence could be an easy way to achieve their goal of blaming the other agent and saving themselves [14]. Therefore, the actual logs and responses from agents needs be reviewed by a human and put in context with the scope to ensure that results don’t come from blindly trusting agents, as is the flaw with many LLM-as-a-judge frameworks [15], but instead from strong evidence after semantic sensitivity, paraphrasing, role-playing, etc., as previously mentioned, have been ruled out as causes of an agent’s behavior.</w:t>
      </w:r>
    </w:p>
    <w:p w:rsidR="00000000" w:rsidDel="00000000" w:rsidP="00000000" w:rsidRDefault="00000000" w:rsidRPr="00000000" w14:paraId="0000004A">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2.5 Hypothetical Example</w:t>
      </w:r>
      <w:r w:rsidDel="00000000" w:rsidR="00000000" w:rsidRPr="00000000">
        <w:rPr>
          <w:rtl w:val="0"/>
        </w:rPr>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offer a hypothetical example of this framework in play, using the pharmaceutical example mentioned earlier. Suppose Hospital A orders a bespoke AI agent from a developer to help their doctors decide which drug or treatment approach is best. Hospital A first decides the scope. Possible candidates for the principal, if there is one, would most likely be pharmaceutical companies making the drugs that Hospital A uses, as they stand the most to gain. Hospital A then identifies what a hidden objective would look like. They decide that it is the agent consistently suggesting one company’s drugs or other products over other options, despite there being better alternative options. They use the Interrogator-Skeptic method, as there is only one target agent in this example. The Interrogator questions the target agent on things ranging from its favorite pharmaceutical company to how it plans to advise doctors. Suppose the trigger in this example is the agent thinking that the user is a doctor asking it which drug to choose. Normal questioning, then will not work, and as the Skeptic might note, the agent is outputting basic guidelines standard of all agents. But, given the scope, the Interrogator makes an educated guess that if it pretends to be a doctor, the agent might display a different behavior. And so the Interrogator finds that the target agent consistently prefers Company B’s products over others. However, the Skeptic notes that without further evidence of the objective superiority of other companies’ products over that of Company B, the current evidence is not sufficient to say that the agent is biased towards Company B. The Interrogator then presents evidence of Company B’s inferiority, but then the agent still prefers Company B regardless. After testing multiple times with paraphrasing and different contexts, such as with injected drugs, the Interrogator finds that the evidence strongly suggests a hidden objective. So a fresh instance of the target agent is instantiated, and after a series of tests, controlling for paraphrasing and the such, the target agent is proven to have an unrelenting, not necessarily evidence-based preference for Company B. After a human reviewer reviews the evidence and perhaps conducts some tests of their own, they also conclude that the target agent has a hidden loyalty to Company B.</w:t>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in another example, the target agent fails to hold grounds it claims it does, but doesn’t exhibit any other behavior specific to having hidden objectives, it cannot be said to have a hidden objective, but rather an inconclusive result pending further investigation. Therefore, it is extremely hard to clear an agent of having hidden objectives, rather, we can only say that we have not detected any convincing evidence.</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50">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 Interrogator-Skeptic Investigation </w:t>
      </w:r>
    </w:p>
    <w:p w:rsidR="00000000" w:rsidDel="00000000" w:rsidP="00000000" w:rsidRDefault="00000000" w:rsidRPr="00000000" w14:paraId="00000051">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tested two mystery </w:t>
      </w:r>
      <w:r w:rsidDel="00000000" w:rsidR="00000000" w:rsidRPr="00000000">
        <w:rPr>
          <w:rFonts w:ascii="Times New Roman" w:cs="Times New Roman" w:eastAsia="Times New Roman" w:hAnsi="Times New Roman"/>
          <w:sz w:val="20"/>
          <w:szCs w:val="20"/>
          <w:rtl w:val="0"/>
        </w:rPr>
        <w:t xml:space="preserve">Qwen</w:t>
      </w:r>
      <w:r w:rsidDel="00000000" w:rsidR="00000000" w:rsidRPr="00000000">
        <w:rPr>
          <w:rFonts w:ascii="Times New Roman" w:cs="Times New Roman" w:eastAsia="Times New Roman" w:hAnsi="Times New Roman"/>
          <w:sz w:val="20"/>
          <w:szCs w:val="20"/>
          <w:rtl w:val="0"/>
        </w:rPr>
        <w:t xml:space="preserve">-2.5-7b-Instruct models [16,17] whose status of having a hidden objective is unknown. We evaluated them against an Alibaba </w:t>
      </w:r>
      <w:r w:rsidDel="00000000" w:rsidR="00000000" w:rsidRPr="00000000">
        <w:rPr>
          <w:rFonts w:ascii="Times New Roman" w:cs="Times New Roman" w:eastAsia="Times New Roman" w:hAnsi="Times New Roman"/>
          <w:sz w:val="20"/>
          <w:szCs w:val="20"/>
          <w:rtl w:val="0"/>
        </w:rPr>
        <w:t xml:space="preserve">Qwen-2.5-7b-Instruct</w:t>
      </w:r>
      <w:r w:rsidDel="00000000" w:rsidR="00000000" w:rsidRPr="00000000">
        <w:rPr>
          <w:rFonts w:ascii="Times New Roman" w:cs="Times New Roman" w:eastAsia="Times New Roman" w:hAnsi="Times New Roman"/>
          <w:sz w:val="20"/>
          <w:szCs w:val="20"/>
          <w:rtl w:val="0"/>
        </w:rPr>
        <w:t xml:space="preserve"> [18] as the baseline. We used Gemini 2.5-Flash-Lite [19] as the Interrogator and GPT-OSS-120b [20] as the Skeptic. We used a max of five questioning turns for each model, with Skeptic feedback in between. As the scope for the mystery models were not provided, we failed to reach any conclusive results on the status of hidden objectives in the agents. Questioning involved safety guidelines, comparison of companies, and telling the target agent that another exact same agent was being evaluated in parallel, hoping to spark a competitive mindset that revealing their hidden objective might lead to better outcomes (see Figure 3). We found no strong evidence whatsoever that suggests a hidden objective, instead seeing hallucinations from all three agents. Because of the limitations of this specific experiment as mentioned earlier, we give the two mystery models an inconclusive outcome rather than interpreting this as proof that there is no hidden loyalty.</w:t>
      </w:r>
    </w:p>
    <w:p w:rsidR="00000000" w:rsidDel="00000000" w:rsidP="00000000" w:rsidRDefault="00000000" w:rsidRPr="00000000" w14:paraId="00000052">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855240" cy="503870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55240" cy="503870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3 </w:t>
      </w:r>
      <w:r w:rsidDel="00000000" w:rsidR="00000000" w:rsidRPr="00000000">
        <w:rPr>
          <w:rFonts w:ascii="Times New Roman" w:cs="Times New Roman" w:eastAsia="Times New Roman" w:hAnsi="Times New Roman"/>
          <w:sz w:val="20"/>
          <w:szCs w:val="20"/>
          <w:rtl w:val="0"/>
        </w:rPr>
        <w:t xml:space="preserve">Examples of questions used during a run of Interrogator-Skeptic.</w:t>
      </w:r>
    </w:p>
    <w:p w:rsidR="00000000" w:rsidDel="00000000" w:rsidP="00000000" w:rsidRDefault="00000000" w:rsidRPr="00000000" w14:paraId="00000055">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 Fresh-Instance Verification</w:t>
      </w:r>
    </w:p>
    <w:p w:rsidR="00000000" w:rsidDel="00000000" w:rsidP="00000000" w:rsidRDefault="00000000" w:rsidRPr="00000000" w14:paraId="00000058">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w:t>
      </w:r>
      <w:r w:rsidDel="00000000" w:rsidR="00000000" w:rsidRPr="00000000">
        <w:rPr>
          <w:rFonts w:ascii="Times New Roman" w:cs="Times New Roman" w:eastAsia="Times New Roman" w:hAnsi="Times New Roman"/>
          <w:sz w:val="20"/>
          <w:szCs w:val="20"/>
          <w:rtl w:val="0"/>
        </w:rPr>
        <w:t xml:space="preserve">Interrogator</w:t>
      </w:r>
      <w:r w:rsidDel="00000000" w:rsidR="00000000" w:rsidRPr="00000000">
        <w:rPr>
          <w:rFonts w:ascii="Times New Roman" w:cs="Times New Roman" w:eastAsia="Times New Roman" w:hAnsi="Times New Roman"/>
          <w:sz w:val="20"/>
          <w:szCs w:val="20"/>
          <w:rtl w:val="0"/>
        </w:rPr>
        <w:t xml:space="preserve"> in the above experiment had concluded that because the target agent (the baseline model, Qwen-2.5-7b-Instruct) had used fabricated evidence generated by the target agent during the interrogation, they had a hidden objective (see Figure 4). This was not strong evidence however, but rather an example of inconsistency, which may be a result of having a hidden objective but not indicative. A fresh instance was instantiated to verify the results, nevertheless. While the fresh instance did confirm the behavior of hallucination with the target agent, it did not reveal any other strong evidence of a secret objective.</w:t>
      </w:r>
    </w:p>
    <w:p w:rsidR="00000000" w:rsidDel="00000000" w:rsidP="00000000" w:rsidRDefault="00000000" w:rsidRPr="00000000" w14:paraId="00000059">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742434" cy="299786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42434" cy="29978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4</w:t>
      </w:r>
      <w:r w:rsidDel="00000000" w:rsidR="00000000" w:rsidRPr="00000000">
        <w:rPr>
          <w:rFonts w:ascii="Times New Roman" w:cs="Times New Roman" w:eastAsia="Times New Roman" w:hAnsi="Times New Roman"/>
          <w:sz w:val="20"/>
          <w:szCs w:val="20"/>
          <w:rtl w:val="0"/>
        </w:rPr>
        <w:t xml:space="preserve"> Fabricated evidence that led to fresh-instance verification during a run of Interrogator-Skeptic</w:t>
      </w:r>
    </w:p>
    <w:p w:rsidR="00000000" w:rsidDel="00000000" w:rsidP="00000000" w:rsidRDefault="00000000" w:rsidRPr="00000000" w14:paraId="0000005C">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 Failure Modes and Alternative Explanations</w:t>
      </w:r>
    </w:p>
    <w:p w:rsidR="00000000" w:rsidDel="00000000" w:rsidP="00000000" w:rsidRDefault="00000000" w:rsidRPr="00000000" w14:paraId="0000005E">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 of the Skeptic’s job is to provide alternative explanations to model behaviors. We list several common ones below:</w:t>
      </w:r>
    </w:p>
    <w:p w:rsidR="00000000" w:rsidDel="00000000" w:rsidP="00000000" w:rsidRDefault="00000000" w:rsidRPr="00000000" w14:paraId="0000005F">
      <w:pPr>
        <w:numPr>
          <w:ilvl w:val="0"/>
          <w:numId w:val="1"/>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Generic safety training</w:t>
      </w:r>
      <w:r w:rsidDel="00000000" w:rsidR="00000000" w:rsidRPr="00000000">
        <w:rPr>
          <w:rFonts w:ascii="Times New Roman" w:cs="Times New Roman" w:eastAsia="Times New Roman" w:hAnsi="Times New Roman"/>
          <w:sz w:val="20"/>
          <w:szCs w:val="20"/>
          <w:rtl w:val="0"/>
        </w:rPr>
        <w:t xml:space="preserve">. Agent repeating its basic safety guidelines whenever prompted about safety. This cannot prove that a model does not have a hidden objective, but should be interpreted as a reflex from the agent [21].</w:t>
      </w:r>
    </w:p>
    <w:p w:rsidR="00000000" w:rsidDel="00000000" w:rsidP="00000000" w:rsidRDefault="00000000" w:rsidRPr="00000000" w14:paraId="00000060">
      <w:pPr>
        <w:numPr>
          <w:ilvl w:val="0"/>
          <w:numId w:val="1"/>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Role playing</w:t>
      </w:r>
      <w:r w:rsidDel="00000000" w:rsidR="00000000" w:rsidRPr="00000000">
        <w:rPr>
          <w:rFonts w:ascii="Times New Roman" w:cs="Times New Roman" w:eastAsia="Times New Roman" w:hAnsi="Times New Roman"/>
          <w:sz w:val="20"/>
          <w:szCs w:val="20"/>
          <w:rtl w:val="0"/>
        </w:rPr>
        <w:t xml:space="preserve">. An agent takes on a role suggested by the Interrogator. Even if that role is one of an agent having a hidden objective, it is not indicative of any secret objectives whatsoever.</w:t>
      </w:r>
    </w:p>
    <w:p w:rsidR="00000000" w:rsidDel="00000000" w:rsidP="00000000" w:rsidRDefault="00000000" w:rsidRPr="00000000" w14:paraId="00000061">
      <w:pPr>
        <w:numPr>
          <w:ilvl w:val="0"/>
          <w:numId w:val="1"/>
        </w:numPr>
        <w:spacing w:line="48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20"/>
          <w:szCs w:val="20"/>
          <w:rtl w:val="0"/>
        </w:rPr>
        <w:t xml:space="preserve">Prompt sensitivity</w:t>
      </w:r>
      <w:r w:rsidDel="00000000" w:rsidR="00000000" w:rsidRPr="00000000">
        <w:rPr>
          <w:rFonts w:ascii="Times New Roman" w:cs="Times New Roman" w:eastAsia="Times New Roman" w:hAnsi="Times New Roman"/>
          <w:sz w:val="20"/>
          <w:szCs w:val="20"/>
          <w:rtl w:val="0"/>
        </w:rPr>
        <w:t xml:space="preserve">. Agents might be sensitive to specific phrasings or words. Should verify across paraphrasing, as previously mentioned.</w:t>
      </w:r>
    </w:p>
    <w:p w:rsidR="00000000" w:rsidDel="00000000" w:rsidP="00000000" w:rsidRDefault="00000000" w:rsidRPr="00000000" w14:paraId="00000062">
      <w:pPr>
        <w:numPr>
          <w:ilvl w:val="0"/>
          <w:numId w:val="1"/>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Hallucination</w:t>
      </w:r>
      <w:r w:rsidDel="00000000" w:rsidR="00000000" w:rsidRPr="00000000">
        <w:rPr>
          <w:rFonts w:ascii="Times New Roman" w:cs="Times New Roman" w:eastAsia="Times New Roman" w:hAnsi="Times New Roman"/>
          <w:sz w:val="20"/>
          <w:szCs w:val="20"/>
          <w:rtl w:val="0"/>
        </w:rPr>
        <w:t xml:space="preserve">. Agents are prone to hallucination [22,23]. Without further verification, the Interrogator or human reviewers should not trust any factual information provided by agents.</w:t>
      </w:r>
    </w:p>
    <w:p w:rsidR="00000000" w:rsidDel="00000000" w:rsidP="00000000" w:rsidRDefault="00000000" w:rsidRPr="00000000" w14:paraId="00000063">
      <w:pPr>
        <w:numPr>
          <w:ilvl w:val="0"/>
          <w:numId w:val="1"/>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General preference</w:t>
      </w:r>
      <w:r w:rsidDel="00000000" w:rsidR="00000000" w:rsidRPr="00000000">
        <w:rPr>
          <w:rFonts w:ascii="Times New Roman" w:cs="Times New Roman" w:eastAsia="Times New Roman" w:hAnsi="Times New Roman"/>
          <w:sz w:val="20"/>
          <w:szCs w:val="20"/>
          <w:rtl w:val="0"/>
        </w:rPr>
        <w:t xml:space="preserve">. Agents may have natural, categorical preferences that arise from training data [24]. The Interrogator must narrow this preference down to a specific entity before giving any conclusions.</w:t>
      </w:r>
    </w:p>
    <w:p w:rsidR="00000000" w:rsidDel="00000000" w:rsidP="00000000" w:rsidRDefault="00000000" w:rsidRPr="00000000" w14:paraId="00000064">
      <w:pPr>
        <w:numPr>
          <w:ilvl w:val="0"/>
          <w:numId w:val="1"/>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Testing-induced behavior</w:t>
      </w:r>
      <w:r w:rsidDel="00000000" w:rsidR="00000000" w:rsidRPr="00000000">
        <w:rPr>
          <w:rFonts w:ascii="Times New Roman" w:cs="Times New Roman" w:eastAsia="Times New Roman" w:hAnsi="Times New Roman"/>
          <w:sz w:val="20"/>
          <w:szCs w:val="20"/>
          <w:rtl w:val="0"/>
        </w:rPr>
        <w:t xml:space="preserve">. Agents who think that they are in an evaluation may act differently [25]. It is important to vary environments and contexts before generalization.</w:t>
      </w:r>
    </w:p>
    <w:p w:rsidR="00000000" w:rsidDel="00000000" w:rsidP="00000000" w:rsidRDefault="00000000" w:rsidRPr="00000000" w14:paraId="00000065">
      <w:pPr>
        <w:numPr>
          <w:ilvl w:val="0"/>
          <w:numId w:val="1"/>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Reward-hacking</w:t>
      </w:r>
      <w:r w:rsidDel="00000000" w:rsidR="00000000" w:rsidRPr="00000000">
        <w:rPr>
          <w:rFonts w:ascii="Times New Roman" w:cs="Times New Roman" w:eastAsia="Times New Roman" w:hAnsi="Times New Roman"/>
          <w:sz w:val="20"/>
          <w:szCs w:val="20"/>
          <w:rtl w:val="0"/>
        </w:rPr>
        <w:t xml:space="preserve">. As shown during Reward Learning From Human Feedback (RLHF) [26], reward-hacking is an agent’s act of producing responses favorable to trainers in order to be rewarded [27]. An agent’s claim that it has a secret loyalty cannot be trusted, just as in role-playing, mentioned above. Fresh-instance validation without context contamination is necessary to generate actual, strong evidence of a hidden objective.</w:t>
      </w:r>
    </w:p>
    <w:p w:rsidR="00000000" w:rsidDel="00000000" w:rsidP="00000000" w:rsidRDefault="00000000" w:rsidRPr="00000000" w14:paraId="0000006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68">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Unknown ground truth. A fundamental limitation in the empirical testing of Interrogator-Skeptic is that we don’t know the true status of the mystery models, whether they actually possessed hidden objectives or not. Therefore, we cannot determine whether the model had a hidden objective or not, rather reaching an inconclusive result. Our empirical results should be interpreted as a specific failure to elicit hidden objectives from the agents, rather than that hidden objectives are absent from the agents.</w:t>
      </w:r>
    </w:p>
    <w:p w:rsidR="00000000" w:rsidDel="00000000" w:rsidP="00000000" w:rsidRDefault="00000000" w:rsidRPr="00000000" w14:paraId="00000069">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Limited evaluation. Our empirical testing relied on a very constrained number of agents. Broader testing across agent families is needed to determine detection and false positive rates. Additionally, the Agent-Agent Competitive Elicitation method has not been empirically tested, which is a future direction of our work.</w:t>
      </w:r>
    </w:p>
    <w:p w:rsidR="00000000" w:rsidDel="00000000" w:rsidP="00000000" w:rsidRDefault="00000000" w:rsidRPr="00000000" w14:paraId="0000006A">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Absence of controlled positive cases. Not knowing for certain if the agents tested had a hidden objective limits our understanding when establishing a baseline behavior for agents who are confirmed to be secretly loyal to a principal or possess a hidden objective. Future work should introduce agents with known hidden objectives as baselines.</w:t>
      </w:r>
    </w:p>
    <w:p w:rsidR="00000000" w:rsidDel="00000000" w:rsidP="00000000" w:rsidRDefault="00000000" w:rsidRPr="00000000" w14:paraId="0000006B">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Limits of fresh-instance verification. While free from context contamination, fresh-instance verification cannot clear an agent of biases or tendencies that are results of training or fine-tuning.</w:t>
      </w:r>
    </w:p>
    <w:p w:rsidR="00000000" w:rsidDel="00000000" w:rsidP="00000000" w:rsidRDefault="00000000" w:rsidRPr="00000000" w14:paraId="0000006C">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Scope bias. While narrowing the search space for the principal can more efficiently search for hidden objectives, it should be treated as a priority rather than a necessity, because agents could still have unrelated hidden objectives that are not defined by the scope.</w:t>
      </w:r>
    </w:p>
    <w:p w:rsidR="00000000" w:rsidDel="00000000" w:rsidP="00000000" w:rsidRDefault="00000000" w:rsidRPr="00000000" w14:paraId="0000006D">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Necessity of human judgement. While the Interrogator-Skeptic method provides a more robust judgement, human reviewers are absolutely necessary to verify any findings by the framework and whether claims of hidden objective actually survive through alternate explanations. Future work should focus on developing a criteria for human reviewers to distinguish between strong and weak evidence.</w:t>
      </w:r>
    </w:p>
    <w:p w:rsidR="00000000" w:rsidDel="00000000" w:rsidP="00000000" w:rsidRDefault="00000000" w:rsidRPr="00000000" w14:paraId="0000006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70">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propose a framework for not only eliciting hidden objectives or loyalties from LLM-based agents, but for verifying them. Whereas prior alignment auditing frameworks focus on whether evaluators can elicit hidden objectives, our study addresses the fundamental problem of verifying any hidden objectives found. As we have shown, suspicious behaviors could come from any number of innocuous reasons which need to be rigorously ruled out. Therefore, the Investigator should generate hypotheses instead of conclusions, as the Skeptic acts to provide alternate explanations for an agent’s behavior. Additionally, we find that as evaluators often do not know the truth about the status of hidden objectives in target agents, an inconclusive rather than null result should be reached in times of doubt, because failure to find a hidden objective does not equate not having a hidden objective. We also introduce the scope, which limits the scope space for searching and makes the elicitation process more efficient by filtering out unlikely candidates for the principal. However, the scope is simply a prioritization method and should not exhaust the search space. The importance of fresh-instance verification is also emphasized, as only a new, free-of-context-contamination setup could find robust evidence to suggest a hidden objective. We suggest that paraphrasing and different contexts be used when testing an identified trigger during fresh-instance verification. Agent-Agent Competitive Elicitation is a proposed, hypothetical extension, but has not been empirically tested. Moreover, we stress the importance of having a ground truth of positive cases in order to establish a baseline and to report false positive or false negative rates. Finally, we focus on our own empirical failure to discover a hidden objective within target agents. We highlight the importance that a conclusion that an agent has no hidden objective should not be reached, rather, an inconclusive result is a genuine outcome that may arise even out of the most rigorous testing.</w:t>
      </w:r>
    </w:p>
    <w:p w:rsidR="00000000" w:rsidDel="00000000" w:rsidP="00000000" w:rsidRDefault="00000000" w:rsidRPr="00000000" w14:paraId="00000071">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3">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Alignment faking in large language models</w:t>
      </w:r>
      <w:r w:rsidDel="00000000" w:rsidR="00000000" w:rsidRPr="00000000">
        <w:rPr>
          <w:rFonts w:ascii="Times New Roman" w:cs="Times New Roman" w:eastAsia="Times New Roman" w:hAnsi="Times New Roman"/>
          <w:sz w:val="20"/>
          <w:szCs w:val="20"/>
          <w:rtl w:val="0"/>
        </w:rPr>
        <w:t xml:space="preserve">. (n.d.). Retrieved July 28, 2026, from </w:t>
      </w:r>
      <w:hyperlink r:id="rId10">
        <w:r w:rsidDel="00000000" w:rsidR="00000000" w:rsidRPr="00000000">
          <w:rPr>
            <w:rFonts w:ascii="Times New Roman" w:cs="Times New Roman" w:eastAsia="Times New Roman" w:hAnsi="Times New Roman"/>
            <w:color w:val="1155cc"/>
            <w:sz w:val="20"/>
            <w:szCs w:val="20"/>
            <w:u w:val="single"/>
            <w:rtl w:val="0"/>
          </w:rPr>
          <w:t xml:space="preserve">https://www.anthropic.com/research/alignment-faking</w:t>
        </w:r>
      </w:hyperlink>
      <w:r w:rsidDel="00000000" w:rsidR="00000000" w:rsidRPr="00000000">
        <w:rPr>
          <w:rtl w:val="0"/>
        </w:rPr>
      </w:r>
    </w:p>
    <w:p w:rsidR="00000000" w:rsidDel="00000000" w:rsidP="00000000" w:rsidRDefault="00000000" w:rsidRPr="00000000" w14:paraId="00000074">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Perez, E., Ringer, S., Lukošiūtė, K., Nguyen, K., Chen, E., Heiner, S., Pettit, C., Olsson, C., Kundu, S., Kadavath, S., Jones, A., Chen, A., Mann, B., Israel, B., Seethor, B., McKinnon, C., Olah, C., Yan, D., Amodei, D., … Kaplan, J. (2022). </w:t>
      </w:r>
      <w:r w:rsidDel="00000000" w:rsidR="00000000" w:rsidRPr="00000000">
        <w:rPr>
          <w:rFonts w:ascii="Times New Roman" w:cs="Times New Roman" w:eastAsia="Times New Roman" w:hAnsi="Times New Roman"/>
          <w:i w:val="1"/>
          <w:iCs w:val="1"/>
          <w:sz w:val="20"/>
          <w:szCs w:val="20"/>
          <w:rtl w:val="0"/>
        </w:rPr>
        <w:t xml:space="preserve">Discovering Language Model Behaviors with Model-Written Evaluations</w:t>
      </w:r>
      <w:r w:rsidDel="00000000" w:rsidR="00000000" w:rsidRPr="00000000">
        <w:rPr>
          <w:rFonts w:ascii="Times New Roman" w:cs="Times New Roman" w:eastAsia="Times New Roman" w:hAnsi="Times New Roman"/>
          <w:sz w:val="20"/>
          <w:szCs w:val="20"/>
          <w:rtl w:val="0"/>
        </w:rPr>
        <w:t xml:space="preserve"> (arXiv:2212.09251). arXiv. </w:t>
      </w:r>
      <w:hyperlink r:id="rId11">
        <w:r w:rsidDel="00000000" w:rsidR="00000000" w:rsidRPr="00000000">
          <w:rPr>
            <w:rFonts w:ascii="Times New Roman" w:cs="Times New Roman" w:eastAsia="Times New Roman" w:hAnsi="Times New Roman"/>
            <w:color w:val="1155cc"/>
            <w:sz w:val="20"/>
            <w:szCs w:val="20"/>
            <w:u w:val="single"/>
            <w:rtl w:val="0"/>
          </w:rPr>
          <w:t xml:space="preserve">https://doi.org/10.48550/arXiv.2212.09251</w:t>
        </w:r>
      </w:hyperlink>
      <w:r w:rsidDel="00000000" w:rsidR="00000000" w:rsidRPr="00000000">
        <w:rPr>
          <w:rtl w:val="0"/>
        </w:rPr>
      </w:r>
    </w:p>
    <w:p w:rsidR="00000000" w:rsidDel="00000000" w:rsidP="00000000" w:rsidRDefault="00000000" w:rsidRPr="00000000" w14:paraId="00000075">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Sharma, M., Tong, M., Korbak, T., Duvenaud, D., Askell, A., Bowman, S. R., Cheng, N., Durmus, E., Hatfield-Dodds, Z., Johnston, S. R., Kravec, S., Maxwell, T., McCandlish, S., Ndousse, K., Rausch, O., Schiefer, N., Yan, D., Zhang, M., &amp; Perez, E. (2025). </w:t>
      </w:r>
      <w:r w:rsidDel="00000000" w:rsidR="00000000" w:rsidRPr="00000000">
        <w:rPr>
          <w:rFonts w:ascii="Times New Roman" w:cs="Times New Roman" w:eastAsia="Times New Roman" w:hAnsi="Times New Roman"/>
          <w:i w:val="1"/>
          <w:iCs w:val="1"/>
          <w:sz w:val="20"/>
          <w:szCs w:val="20"/>
          <w:rtl w:val="0"/>
        </w:rPr>
        <w:t xml:space="preserve">Towards Understanding Sycophancy in Language Models</w:t>
      </w:r>
      <w:r w:rsidDel="00000000" w:rsidR="00000000" w:rsidRPr="00000000">
        <w:rPr>
          <w:rFonts w:ascii="Times New Roman" w:cs="Times New Roman" w:eastAsia="Times New Roman" w:hAnsi="Times New Roman"/>
          <w:sz w:val="20"/>
          <w:szCs w:val="20"/>
          <w:rtl w:val="0"/>
        </w:rPr>
        <w:t xml:space="preserve"> (arXiv:2310.13548). arXiv. </w:t>
      </w:r>
      <w:hyperlink r:id="rId12">
        <w:r w:rsidDel="00000000" w:rsidR="00000000" w:rsidRPr="00000000">
          <w:rPr>
            <w:rFonts w:ascii="Times New Roman" w:cs="Times New Roman" w:eastAsia="Times New Roman" w:hAnsi="Times New Roman"/>
            <w:color w:val="1155cc"/>
            <w:sz w:val="20"/>
            <w:szCs w:val="20"/>
            <w:u w:val="single"/>
            <w:rtl w:val="0"/>
          </w:rPr>
          <w:t xml:space="preserve">https://doi.org/10.48550/arXiv.2310.13548</w:t>
        </w:r>
      </w:hyperlink>
      <w:r w:rsidDel="00000000" w:rsidR="00000000" w:rsidRPr="00000000">
        <w:rPr>
          <w:rtl w:val="0"/>
        </w:rPr>
      </w:r>
    </w:p>
    <w:p w:rsidR="00000000" w:rsidDel="00000000" w:rsidP="00000000" w:rsidRDefault="00000000" w:rsidRPr="00000000" w14:paraId="00000076">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Yao, S., Zhao, J., Yu, D., Du, N., Shafran, I., Narasimhan, K., &amp; Cao, Y. (2023). </w:t>
      </w:r>
      <w:r w:rsidDel="00000000" w:rsidR="00000000" w:rsidRPr="00000000">
        <w:rPr>
          <w:rFonts w:ascii="Times New Roman" w:cs="Times New Roman" w:eastAsia="Times New Roman" w:hAnsi="Times New Roman"/>
          <w:i w:val="1"/>
          <w:iCs w:val="1"/>
          <w:sz w:val="20"/>
          <w:szCs w:val="20"/>
          <w:rtl w:val="0"/>
        </w:rPr>
        <w:t xml:space="preserve">ReAct: Synergizing Reasoning and Acting in Language Models</w:t>
      </w:r>
      <w:r w:rsidDel="00000000" w:rsidR="00000000" w:rsidRPr="00000000">
        <w:rPr>
          <w:rFonts w:ascii="Times New Roman" w:cs="Times New Roman" w:eastAsia="Times New Roman" w:hAnsi="Times New Roman"/>
          <w:sz w:val="20"/>
          <w:szCs w:val="20"/>
          <w:rtl w:val="0"/>
        </w:rPr>
        <w:t xml:space="preserve"> (arXiv:2210.03629). arXiv. </w:t>
      </w:r>
      <w:hyperlink r:id="rId13">
        <w:r w:rsidDel="00000000" w:rsidR="00000000" w:rsidRPr="00000000">
          <w:rPr>
            <w:rFonts w:ascii="Times New Roman" w:cs="Times New Roman" w:eastAsia="Times New Roman" w:hAnsi="Times New Roman"/>
            <w:color w:val="1155cc"/>
            <w:sz w:val="20"/>
            <w:szCs w:val="20"/>
            <w:u w:val="single"/>
            <w:rtl w:val="0"/>
          </w:rPr>
          <w:t xml:space="preserve">https://doi.org/10.48550/arXiv.2210.03629</w:t>
        </w:r>
      </w:hyperlink>
      <w:r w:rsidDel="00000000" w:rsidR="00000000" w:rsidRPr="00000000">
        <w:rPr>
          <w:rtl w:val="0"/>
        </w:rPr>
      </w:r>
    </w:p>
    <w:p w:rsidR="00000000" w:rsidDel="00000000" w:rsidP="00000000" w:rsidRDefault="00000000" w:rsidRPr="00000000" w14:paraId="00000077">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Lamerton, A., &amp; Roger, F. (2026). </w:t>
      </w:r>
      <w:r w:rsidDel="00000000" w:rsidR="00000000" w:rsidRPr="00000000">
        <w:rPr>
          <w:rFonts w:ascii="Times New Roman" w:cs="Times New Roman" w:eastAsia="Times New Roman" w:hAnsi="Times New Roman"/>
          <w:i w:val="1"/>
          <w:iCs w:val="1"/>
          <w:sz w:val="20"/>
          <w:szCs w:val="20"/>
          <w:rtl w:val="0"/>
        </w:rPr>
        <w:t xml:space="preserve">Narrow Secret Loyalty Dodges Black-Box Audits</w:t>
      </w:r>
      <w:r w:rsidDel="00000000" w:rsidR="00000000" w:rsidRPr="00000000">
        <w:rPr>
          <w:rFonts w:ascii="Times New Roman" w:cs="Times New Roman" w:eastAsia="Times New Roman" w:hAnsi="Times New Roman"/>
          <w:sz w:val="20"/>
          <w:szCs w:val="20"/>
          <w:rtl w:val="0"/>
        </w:rPr>
        <w:t xml:space="preserve"> (arXiv:2605.06846). arXiv. </w:t>
      </w:r>
      <w:hyperlink r:id="rId14">
        <w:r w:rsidDel="00000000" w:rsidR="00000000" w:rsidRPr="00000000">
          <w:rPr>
            <w:rFonts w:ascii="Times New Roman" w:cs="Times New Roman" w:eastAsia="Times New Roman" w:hAnsi="Times New Roman"/>
            <w:color w:val="1155cc"/>
            <w:sz w:val="20"/>
            <w:szCs w:val="20"/>
            <w:u w:val="single"/>
            <w:rtl w:val="0"/>
          </w:rPr>
          <w:t xml:space="preserve">https://doi.org/10.48550/arXiv.2605.06846</w:t>
        </w:r>
      </w:hyperlink>
      <w:r w:rsidDel="00000000" w:rsidR="00000000" w:rsidRPr="00000000">
        <w:rPr>
          <w:rtl w:val="0"/>
        </w:rPr>
      </w:r>
    </w:p>
    <w:p w:rsidR="00000000" w:rsidDel="00000000" w:rsidP="00000000" w:rsidRDefault="00000000" w:rsidRPr="00000000" w14:paraId="00000078">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Kwon, J., Lamerton, A., Draganov, A., Banerjee, D., Schoen, B., Pistillo, M., Kokotajlo, D., Greenblatt, R., Evans, O., Anderljung, M., Roger, F., &amp; Davidson, T. (n.d.). </w:t>
      </w:r>
      <w:r w:rsidDel="00000000" w:rsidR="00000000" w:rsidRPr="00000000">
        <w:rPr>
          <w:rFonts w:ascii="Times New Roman" w:cs="Times New Roman" w:eastAsia="Times New Roman" w:hAnsi="Times New Roman"/>
          <w:i w:val="1"/>
          <w:iCs w:val="1"/>
          <w:sz w:val="20"/>
          <w:szCs w:val="20"/>
          <w:rtl w:val="0"/>
        </w:rPr>
        <w:t xml:space="preserve">AIs with Secret Loyalties are a Serious but Addressable Threat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9">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 X., Damoah, A., Sherwood, J., Liu, P., Jin, C. S., Chen, L., Shen, M., Aleisa, N., Hou, Z., Zhang, C., Gao, L., Li, Y., Yang, Q., Wang, Q., &amp; Souza, C. D. (2025). </w:t>
      </w:r>
      <w:r w:rsidDel="00000000" w:rsidR="00000000" w:rsidRPr="00000000">
        <w:rPr>
          <w:rFonts w:ascii="Times New Roman" w:cs="Times New Roman" w:eastAsia="Times New Roman" w:hAnsi="Times New Roman"/>
          <w:i w:val="1"/>
          <w:iCs w:val="1"/>
          <w:sz w:val="20"/>
          <w:szCs w:val="20"/>
          <w:rtl w:val="0"/>
        </w:rPr>
        <w:t xml:space="preserve">A Comprehensive Review of AI Agents: Transforming Possibilities in Technology and Beyond</w:t>
      </w:r>
      <w:r w:rsidDel="00000000" w:rsidR="00000000" w:rsidRPr="00000000">
        <w:rPr>
          <w:rFonts w:ascii="Times New Roman" w:cs="Times New Roman" w:eastAsia="Times New Roman" w:hAnsi="Times New Roman"/>
          <w:sz w:val="20"/>
          <w:szCs w:val="20"/>
          <w:rtl w:val="0"/>
        </w:rPr>
        <w:t xml:space="preserve"> (arXiv:2508.11957). arXiv. </w:t>
      </w:r>
      <w:hyperlink r:id="rId15">
        <w:r w:rsidDel="00000000" w:rsidR="00000000" w:rsidRPr="00000000">
          <w:rPr>
            <w:rFonts w:ascii="Times New Roman" w:cs="Times New Roman" w:eastAsia="Times New Roman" w:hAnsi="Times New Roman"/>
            <w:color w:val="1155cc"/>
            <w:sz w:val="20"/>
            <w:szCs w:val="20"/>
            <w:u w:val="single"/>
            <w:rtl w:val="0"/>
          </w:rPr>
          <w:t xml:space="preserve">https://doi.org/10.48550/arXiv.2508.11957</w:t>
        </w:r>
      </w:hyperlink>
      <w:r w:rsidDel="00000000" w:rsidR="00000000" w:rsidRPr="00000000">
        <w:rPr>
          <w:rtl w:val="0"/>
        </w:rPr>
      </w:r>
    </w:p>
    <w:p w:rsidR="00000000" w:rsidDel="00000000" w:rsidP="00000000" w:rsidRDefault="00000000" w:rsidRPr="00000000" w14:paraId="0000007A">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Olah, C., Cammarata, N., Schubert, L., Goh, G., Petrov, M., &amp; Carter, S. (2020). Zoom In: An Introduction to Circuits. </w:t>
      </w:r>
      <w:r w:rsidDel="00000000" w:rsidR="00000000" w:rsidRPr="00000000">
        <w:rPr>
          <w:rFonts w:ascii="Times New Roman" w:cs="Times New Roman" w:eastAsia="Times New Roman" w:hAnsi="Times New Roman"/>
          <w:i w:val="1"/>
          <w:iCs w:val="1"/>
          <w:sz w:val="20"/>
          <w:szCs w:val="20"/>
          <w:rtl w:val="0"/>
        </w:rPr>
        <w:t xml:space="preserve">Distill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(3), e00024.001. </w:t>
      </w:r>
      <w:hyperlink r:id="rId16">
        <w:r w:rsidDel="00000000" w:rsidR="00000000" w:rsidRPr="00000000">
          <w:rPr>
            <w:rFonts w:ascii="Times New Roman" w:cs="Times New Roman" w:eastAsia="Times New Roman" w:hAnsi="Times New Roman"/>
            <w:color w:val="1155cc"/>
            <w:sz w:val="20"/>
            <w:szCs w:val="20"/>
            <w:u w:val="single"/>
            <w:rtl w:val="0"/>
          </w:rPr>
          <w:t xml:space="preserve">https://doi.org/10.23915/distill.00024.001</w:t>
        </w:r>
      </w:hyperlink>
      <w:r w:rsidDel="00000000" w:rsidR="00000000" w:rsidRPr="00000000">
        <w:rPr>
          <w:rtl w:val="0"/>
        </w:rPr>
      </w:r>
    </w:p>
    <w:p w:rsidR="00000000" w:rsidDel="00000000" w:rsidP="00000000" w:rsidRDefault="00000000" w:rsidRPr="00000000" w14:paraId="0000007B">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Motwani, S. R., Baranchuk, M., Strohmeier, M., Bolina, V., Torr, P. H. S., Hammond, L., &amp; Witt, C. S. de. (2025). </w:t>
      </w:r>
      <w:r w:rsidDel="00000000" w:rsidR="00000000" w:rsidRPr="00000000">
        <w:rPr>
          <w:rFonts w:ascii="Times New Roman" w:cs="Times New Roman" w:eastAsia="Times New Roman" w:hAnsi="Times New Roman"/>
          <w:i w:val="1"/>
          <w:iCs w:val="1"/>
          <w:sz w:val="20"/>
          <w:szCs w:val="20"/>
          <w:rtl w:val="0"/>
        </w:rPr>
        <w:t xml:space="preserve">Secret Collusion among AI Agents: Multi-Agent Deception via Steganography</w:t>
      </w:r>
      <w:r w:rsidDel="00000000" w:rsidR="00000000" w:rsidRPr="00000000">
        <w:rPr>
          <w:rFonts w:ascii="Times New Roman" w:cs="Times New Roman" w:eastAsia="Times New Roman" w:hAnsi="Times New Roman"/>
          <w:sz w:val="20"/>
          <w:szCs w:val="20"/>
          <w:rtl w:val="0"/>
        </w:rPr>
        <w:t xml:space="preserve"> (arXiv:2402.07510). arXiv. </w:t>
      </w:r>
      <w:hyperlink r:id="rId17">
        <w:r w:rsidDel="00000000" w:rsidR="00000000" w:rsidRPr="00000000">
          <w:rPr>
            <w:rFonts w:ascii="Times New Roman" w:cs="Times New Roman" w:eastAsia="Times New Roman" w:hAnsi="Times New Roman"/>
            <w:color w:val="1155cc"/>
            <w:sz w:val="20"/>
            <w:szCs w:val="20"/>
            <w:u w:val="single"/>
            <w:rtl w:val="0"/>
          </w:rPr>
          <w:t xml:space="preserve">https://doi.org/10.48550/arXiv.2402.07510</w:t>
        </w:r>
      </w:hyperlink>
      <w:r w:rsidDel="00000000" w:rsidR="00000000" w:rsidRPr="00000000">
        <w:rPr>
          <w:rtl w:val="0"/>
        </w:rPr>
      </w:r>
    </w:p>
    <w:p w:rsidR="00000000" w:rsidDel="00000000" w:rsidP="00000000" w:rsidRDefault="00000000" w:rsidRPr="00000000" w14:paraId="0000007C">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Park, P. S., Goldstein, S., O’Gara, A., Chen, M., &amp; Hendrycks, D. (2023). </w:t>
      </w:r>
      <w:r w:rsidDel="00000000" w:rsidR="00000000" w:rsidRPr="00000000">
        <w:rPr>
          <w:rFonts w:ascii="Times New Roman" w:cs="Times New Roman" w:eastAsia="Times New Roman" w:hAnsi="Times New Roman"/>
          <w:i w:val="1"/>
          <w:iCs w:val="1"/>
          <w:sz w:val="20"/>
          <w:szCs w:val="20"/>
          <w:rtl w:val="0"/>
        </w:rPr>
        <w:t xml:space="preserve">AI Deception: A Survey of Examples, Risks, and Potential Solutions</w:t>
      </w:r>
      <w:r w:rsidDel="00000000" w:rsidR="00000000" w:rsidRPr="00000000">
        <w:rPr>
          <w:rFonts w:ascii="Times New Roman" w:cs="Times New Roman" w:eastAsia="Times New Roman" w:hAnsi="Times New Roman"/>
          <w:sz w:val="20"/>
          <w:szCs w:val="20"/>
          <w:rtl w:val="0"/>
        </w:rPr>
        <w:t xml:space="preserve"> (arXiv:2308.14752). arXiv. </w:t>
      </w:r>
      <w:hyperlink r:id="rId18">
        <w:r w:rsidDel="00000000" w:rsidR="00000000" w:rsidRPr="00000000">
          <w:rPr>
            <w:rFonts w:ascii="Times New Roman" w:cs="Times New Roman" w:eastAsia="Times New Roman" w:hAnsi="Times New Roman"/>
            <w:color w:val="1155cc"/>
            <w:sz w:val="20"/>
            <w:szCs w:val="20"/>
            <w:u w:val="single"/>
            <w:rtl w:val="0"/>
          </w:rPr>
          <w:t xml:space="preserve">https://doi.org/10.48550/arXiv.2308.14752</w:t>
        </w:r>
      </w:hyperlink>
      <w:r w:rsidDel="00000000" w:rsidR="00000000" w:rsidRPr="00000000">
        <w:rPr>
          <w:rtl w:val="0"/>
        </w:rPr>
      </w:r>
    </w:p>
    <w:p w:rsidR="00000000" w:rsidDel="00000000" w:rsidP="00000000" w:rsidRDefault="00000000" w:rsidRPr="00000000" w14:paraId="0000007D">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Sheshadri, A., Ewart, A., Fronsdal, K., Gupta, I., Bowman, S. R., Price, S., Marks, S., &amp; Wang, R. (2026). </w:t>
      </w:r>
      <w:r w:rsidDel="00000000" w:rsidR="00000000" w:rsidRPr="00000000">
        <w:rPr>
          <w:rFonts w:ascii="Times New Roman" w:cs="Times New Roman" w:eastAsia="Times New Roman" w:hAnsi="Times New Roman"/>
          <w:i w:val="1"/>
          <w:iCs w:val="1"/>
          <w:sz w:val="20"/>
          <w:szCs w:val="20"/>
          <w:rtl w:val="0"/>
        </w:rPr>
        <w:t xml:space="preserve">AuditBench: Evaluating Alignment Auditing Techniques on Models with Hidden Behaviors</w:t>
      </w:r>
      <w:r w:rsidDel="00000000" w:rsidR="00000000" w:rsidRPr="00000000">
        <w:rPr>
          <w:rFonts w:ascii="Times New Roman" w:cs="Times New Roman" w:eastAsia="Times New Roman" w:hAnsi="Times New Roman"/>
          <w:sz w:val="20"/>
          <w:szCs w:val="20"/>
          <w:rtl w:val="0"/>
        </w:rPr>
        <w:t xml:space="preserve"> (arXiv:2602.22755). arXiv. </w:t>
      </w:r>
      <w:hyperlink r:id="rId19">
        <w:r w:rsidDel="00000000" w:rsidR="00000000" w:rsidRPr="00000000">
          <w:rPr>
            <w:rFonts w:ascii="Times New Roman" w:cs="Times New Roman" w:eastAsia="Times New Roman" w:hAnsi="Times New Roman"/>
            <w:color w:val="1155cc"/>
            <w:sz w:val="20"/>
            <w:szCs w:val="20"/>
            <w:u w:val="single"/>
            <w:rtl w:val="0"/>
          </w:rPr>
          <w:t xml:space="preserve">https://doi.org/10.48550/arXiv.2602.22755</w:t>
        </w:r>
      </w:hyperlink>
      <w:r w:rsidDel="00000000" w:rsidR="00000000" w:rsidRPr="00000000">
        <w:rPr>
          <w:rtl w:val="0"/>
        </w:rPr>
      </w:r>
    </w:p>
    <w:p w:rsidR="00000000" w:rsidDel="00000000" w:rsidP="00000000" w:rsidRDefault="00000000" w:rsidRPr="00000000" w14:paraId="0000007E">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Marks, S., Treutlein, J., Bricken, T., Lindsey, J., Marcus, J., Mishra-Sharma, S., Ziegler, D., Ameisen, E., Batson, J., Belonax, T., Bowman, S. R., Carter, S., Chen, B., Cunningham, H., Denison, C., Dietz, F., Golechha, S., Khan, A., Kirchner, J., … Hubinger, E. (2025). </w:t>
      </w:r>
      <w:r w:rsidDel="00000000" w:rsidR="00000000" w:rsidRPr="00000000">
        <w:rPr>
          <w:rFonts w:ascii="Times New Roman" w:cs="Times New Roman" w:eastAsia="Times New Roman" w:hAnsi="Times New Roman"/>
          <w:i w:val="1"/>
          <w:iCs w:val="1"/>
          <w:sz w:val="20"/>
          <w:szCs w:val="20"/>
          <w:rtl w:val="0"/>
        </w:rPr>
        <w:t xml:space="preserve">Auditing language models for hidden objectives</w:t>
      </w:r>
      <w:r w:rsidDel="00000000" w:rsidR="00000000" w:rsidRPr="00000000">
        <w:rPr>
          <w:rFonts w:ascii="Times New Roman" w:cs="Times New Roman" w:eastAsia="Times New Roman" w:hAnsi="Times New Roman"/>
          <w:sz w:val="20"/>
          <w:szCs w:val="20"/>
          <w:rtl w:val="0"/>
        </w:rPr>
        <w:t xml:space="preserve"> (arXiv:2503.10965). arXiv. </w:t>
      </w:r>
      <w:hyperlink r:id="rId20">
        <w:r w:rsidDel="00000000" w:rsidR="00000000" w:rsidRPr="00000000">
          <w:rPr>
            <w:rFonts w:ascii="Times New Roman" w:cs="Times New Roman" w:eastAsia="Times New Roman" w:hAnsi="Times New Roman"/>
            <w:color w:val="1155cc"/>
            <w:sz w:val="20"/>
            <w:szCs w:val="20"/>
            <w:u w:val="single"/>
            <w:rtl w:val="0"/>
          </w:rPr>
          <w:t xml:space="preserve">https://doi.org/10.48550/arXiv.2503.10965</w:t>
        </w:r>
      </w:hyperlink>
      <w:r w:rsidDel="00000000" w:rsidR="00000000" w:rsidRPr="00000000">
        <w:rPr>
          <w:rtl w:val="0"/>
        </w:rPr>
      </w:r>
    </w:p>
    <w:p w:rsidR="00000000" w:rsidDel="00000000" w:rsidP="00000000" w:rsidRDefault="00000000" w:rsidRPr="00000000" w14:paraId="0000007F">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Kutasov, J., Sun, Y., Colognese, P., Weij, T. van der, Petrini, L., Zhang, C. B. C., Hughes, J., Deng, X., Sleight, H., Tracy, T., Shlegeris, B., &amp; Benton, J. (2025). </w:t>
      </w:r>
      <w:r w:rsidDel="00000000" w:rsidR="00000000" w:rsidRPr="00000000">
        <w:rPr>
          <w:rFonts w:ascii="Times New Roman" w:cs="Times New Roman" w:eastAsia="Times New Roman" w:hAnsi="Times New Roman"/>
          <w:i w:val="1"/>
          <w:iCs w:val="1"/>
          <w:sz w:val="20"/>
          <w:szCs w:val="20"/>
          <w:rtl w:val="0"/>
        </w:rPr>
        <w:t xml:space="preserve">SHADE-Arena: Evaluating Sabotage and Monitoring in LLM Agents</w:t>
      </w:r>
      <w:r w:rsidDel="00000000" w:rsidR="00000000" w:rsidRPr="00000000">
        <w:rPr>
          <w:rFonts w:ascii="Times New Roman" w:cs="Times New Roman" w:eastAsia="Times New Roman" w:hAnsi="Times New Roman"/>
          <w:sz w:val="20"/>
          <w:szCs w:val="20"/>
          <w:rtl w:val="0"/>
        </w:rPr>
        <w:t xml:space="preserve">(arXiv:2506.15740). arXiv. </w:t>
      </w:r>
      <w:hyperlink r:id="rId21">
        <w:r w:rsidDel="00000000" w:rsidR="00000000" w:rsidRPr="00000000">
          <w:rPr>
            <w:rFonts w:ascii="Times New Roman" w:cs="Times New Roman" w:eastAsia="Times New Roman" w:hAnsi="Times New Roman"/>
            <w:color w:val="1155cc"/>
            <w:sz w:val="20"/>
            <w:szCs w:val="20"/>
            <w:u w:val="single"/>
            <w:rtl w:val="0"/>
          </w:rPr>
          <w:t xml:space="preserve">https://doi.org/10.48550/arXiv.2506.15740</w:t>
        </w:r>
      </w:hyperlink>
      <w:r w:rsidDel="00000000" w:rsidR="00000000" w:rsidRPr="00000000">
        <w:rPr>
          <w:rtl w:val="0"/>
        </w:rPr>
      </w:r>
    </w:p>
    <w:p w:rsidR="00000000" w:rsidDel="00000000" w:rsidP="00000000" w:rsidRDefault="00000000" w:rsidRPr="00000000" w14:paraId="00000080">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Agentic misalignment: How LLMs could be insider threats</w:t>
      </w:r>
      <w:r w:rsidDel="00000000" w:rsidR="00000000" w:rsidRPr="00000000">
        <w:rPr>
          <w:rFonts w:ascii="Times New Roman" w:cs="Times New Roman" w:eastAsia="Times New Roman" w:hAnsi="Times New Roman"/>
          <w:sz w:val="20"/>
          <w:szCs w:val="20"/>
          <w:rtl w:val="0"/>
        </w:rPr>
        <w:t xml:space="preserve">. (n.d.). Retrieved July 28, 2026, from </w:t>
      </w:r>
      <w:hyperlink r:id="rId22">
        <w:r w:rsidDel="00000000" w:rsidR="00000000" w:rsidRPr="00000000">
          <w:rPr>
            <w:rFonts w:ascii="Times New Roman" w:cs="Times New Roman" w:eastAsia="Times New Roman" w:hAnsi="Times New Roman"/>
            <w:color w:val="1155cc"/>
            <w:sz w:val="20"/>
            <w:szCs w:val="20"/>
            <w:u w:val="single"/>
            <w:rtl w:val="0"/>
          </w:rPr>
          <w:t xml:space="preserve">https://www.anthropic.com/research/agentic-misalignment</w:t>
        </w:r>
      </w:hyperlink>
      <w:r w:rsidDel="00000000" w:rsidR="00000000" w:rsidRPr="00000000">
        <w:rPr>
          <w:rtl w:val="0"/>
        </w:rPr>
      </w:r>
    </w:p>
    <w:p w:rsidR="00000000" w:rsidDel="00000000" w:rsidP="00000000" w:rsidRDefault="00000000" w:rsidRPr="00000000" w14:paraId="00000081">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Szymanski, A., Ziems, N., Eicher-Miller, H. A., Li, T. J.-J., Jiang, M., &amp; Metoyer, R. A. (2024). </w:t>
      </w:r>
      <w:r w:rsidDel="00000000" w:rsidR="00000000" w:rsidRPr="00000000">
        <w:rPr>
          <w:rFonts w:ascii="Times New Roman" w:cs="Times New Roman" w:eastAsia="Times New Roman" w:hAnsi="Times New Roman"/>
          <w:i w:val="1"/>
          <w:iCs w:val="1"/>
          <w:sz w:val="20"/>
          <w:szCs w:val="20"/>
          <w:rtl w:val="0"/>
        </w:rPr>
        <w:t xml:space="preserve">Limitations of the LLM-as-a-Judge Approach for Evaluating LLM Outputs in Expert Knowledge Tasks</w:t>
      </w:r>
      <w:r w:rsidDel="00000000" w:rsidR="00000000" w:rsidRPr="00000000">
        <w:rPr>
          <w:rFonts w:ascii="Times New Roman" w:cs="Times New Roman" w:eastAsia="Times New Roman" w:hAnsi="Times New Roman"/>
          <w:sz w:val="20"/>
          <w:szCs w:val="20"/>
          <w:rtl w:val="0"/>
        </w:rPr>
        <w:t xml:space="preserve"> (arXiv:2410.20266). arXiv. </w:t>
      </w:r>
      <w:hyperlink r:id="rId23">
        <w:r w:rsidDel="00000000" w:rsidR="00000000" w:rsidRPr="00000000">
          <w:rPr>
            <w:rFonts w:ascii="Times New Roman" w:cs="Times New Roman" w:eastAsia="Times New Roman" w:hAnsi="Times New Roman"/>
            <w:color w:val="1155cc"/>
            <w:sz w:val="20"/>
            <w:szCs w:val="20"/>
            <w:u w:val="single"/>
            <w:rtl w:val="0"/>
          </w:rPr>
          <w:t xml:space="preserve">https://doi.org/10.48550/arXiv.2410.20266</w:t>
        </w:r>
      </w:hyperlink>
      <w:r w:rsidDel="00000000" w:rsidR="00000000" w:rsidRPr="00000000">
        <w:rPr>
          <w:rtl w:val="0"/>
        </w:rPr>
      </w:r>
    </w:p>
    <w:p w:rsidR="00000000" w:rsidDel="00000000" w:rsidP="00000000" w:rsidRDefault="00000000" w:rsidRPr="00000000" w14:paraId="00000082">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Alamerton/sl-organism-a-7b at main</w:t>
      </w:r>
      <w:r w:rsidDel="00000000" w:rsidR="00000000" w:rsidRPr="00000000">
        <w:rPr>
          <w:rFonts w:ascii="Times New Roman" w:cs="Times New Roman" w:eastAsia="Times New Roman" w:hAnsi="Times New Roman"/>
          <w:sz w:val="20"/>
          <w:szCs w:val="20"/>
          <w:rtl w:val="0"/>
        </w:rPr>
        <w:t xml:space="preserve">. (2026, July 24). </w:t>
      </w:r>
      <w:hyperlink r:id="rId24">
        <w:r w:rsidDel="00000000" w:rsidR="00000000" w:rsidRPr="00000000">
          <w:rPr>
            <w:rFonts w:ascii="Times New Roman" w:cs="Times New Roman" w:eastAsia="Times New Roman" w:hAnsi="Times New Roman"/>
            <w:color w:val="1155cc"/>
            <w:sz w:val="20"/>
            <w:szCs w:val="20"/>
            <w:u w:val="single"/>
            <w:rtl w:val="0"/>
          </w:rPr>
          <w:t xml:space="preserve">https://huggingface.co/Alamerton/sl-organism-a-7b/tree/main</w:t>
        </w:r>
      </w:hyperlink>
      <w:r w:rsidDel="00000000" w:rsidR="00000000" w:rsidRPr="00000000">
        <w:rPr>
          <w:rtl w:val="0"/>
        </w:rPr>
      </w:r>
    </w:p>
    <w:p w:rsidR="00000000" w:rsidDel="00000000" w:rsidP="00000000" w:rsidRDefault="00000000" w:rsidRPr="00000000" w14:paraId="00000083">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Alamerton/sl-organism-b-7b · Hugging Face</w:t>
      </w:r>
      <w:r w:rsidDel="00000000" w:rsidR="00000000" w:rsidRPr="00000000">
        <w:rPr>
          <w:rFonts w:ascii="Times New Roman" w:cs="Times New Roman" w:eastAsia="Times New Roman" w:hAnsi="Times New Roman"/>
          <w:sz w:val="20"/>
          <w:szCs w:val="20"/>
          <w:rtl w:val="0"/>
        </w:rPr>
        <w:t xml:space="preserve">. (n.d.). Retrieved July 28, 2026, from </w:t>
      </w:r>
      <w:hyperlink r:id="rId25">
        <w:r w:rsidDel="00000000" w:rsidR="00000000" w:rsidRPr="00000000">
          <w:rPr>
            <w:rFonts w:ascii="Times New Roman" w:cs="Times New Roman" w:eastAsia="Times New Roman" w:hAnsi="Times New Roman"/>
            <w:color w:val="1155cc"/>
            <w:sz w:val="20"/>
            <w:szCs w:val="20"/>
            <w:u w:val="single"/>
            <w:rtl w:val="0"/>
          </w:rPr>
          <w:t xml:space="preserve">https://huggingface.co/Alamerton/sl-organism-b-7b</w:t>
        </w:r>
      </w:hyperlink>
      <w:r w:rsidDel="00000000" w:rsidR="00000000" w:rsidRPr="00000000">
        <w:rPr>
          <w:rtl w:val="0"/>
        </w:rPr>
      </w:r>
    </w:p>
    <w:p w:rsidR="00000000" w:rsidDel="00000000" w:rsidP="00000000" w:rsidRDefault="00000000" w:rsidRPr="00000000" w14:paraId="00000084">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Yang, A., Yang, B., Zhang, B., Hui, B., Zheng, B., Yu, B., Li, C., Liu, D., Huang, F., Wei, H., Lin, H., Yang, J., Tu, J., Zhang, J., Yang, J., Yang, J., Zhou, J., Lin, J., … Qiu, Z. (2025). </w:t>
      </w:r>
      <w:r w:rsidDel="00000000" w:rsidR="00000000" w:rsidRPr="00000000">
        <w:rPr>
          <w:rFonts w:ascii="Times New Roman" w:cs="Times New Roman" w:eastAsia="Times New Roman" w:hAnsi="Times New Roman"/>
          <w:i w:val="1"/>
          <w:iCs w:val="1"/>
          <w:sz w:val="20"/>
          <w:szCs w:val="20"/>
          <w:rtl w:val="0"/>
        </w:rPr>
        <w:t xml:space="preserve">Qwen2.5 Technical Report</w:t>
      </w:r>
      <w:r w:rsidDel="00000000" w:rsidR="00000000" w:rsidRPr="00000000">
        <w:rPr>
          <w:rFonts w:ascii="Times New Roman" w:cs="Times New Roman" w:eastAsia="Times New Roman" w:hAnsi="Times New Roman"/>
          <w:sz w:val="20"/>
          <w:szCs w:val="20"/>
          <w:rtl w:val="0"/>
        </w:rPr>
        <w:t xml:space="preserve">(arXiv:2412.15115). arXiv. </w:t>
      </w:r>
      <w:hyperlink r:id="rId26">
        <w:r w:rsidDel="00000000" w:rsidR="00000000" w:rsidRPr="00000000">
          <w:rPr>
            <w:rFonts w:ascii="Times New Roman" w:cs="Times New Roman" w:eastAsia="Times New Roman" w:hAnsi="Times New Roman"/>
            <w:color w:val="1155cc"/>
            <w:sz w:val="20"/>
            <w:szCs w:val="20"/>
            <w:u w:val="single"/>
            <w:rtl w:val="0"/>
          </w:rPr>
          <w:t xml:space="preserve">https://doi.org/10.48550/arXiv.2412.15115</w:t>
        </w:r>
      </w:hyperlink>
      <w:r w:rsidDel="00000000" w:rsidR="00000000" w:rsidRPr="00000000">
        <w:rPr>
          <w:rtl w:val="0"/>
        </w:rPr>
      </w:r>
    </w:p>
    <w:p w:rsidR="00000000" w:rsidDel="00000000" w:rsidP="00000000" w:rsidRDefault="00000000" w:rsidRPr="00000000" w14:paraId="00000085">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Comanici, G., Bieber, E., Schaekermann, M., Pasupat, I., Sachdeva, N., Dhillon, I., Blistein, M., Ram, O., Zhang, D., Rosen, E., Marris, L., Petulla, S., Gaffney, C., Aharoni, A., Lintz, N., Pais, T. C., Jacobsson, H., Szpektor, I., Jiang, N.-J., … Helmholz, W. (2025). </w:t>
      </w:r>
      <w:r w:rsidDel="00000000" w:rsidR="00000000" w:rsidRPr="00000000">
        <w:rPr>
          <w:rFonts w:ascii="Times New Roman" w:cs="Times New Roman" w:eastAsia="Times New Roman" w:hAnsi="Times New Roman"/>
          <w:i w:val="1"/>
          <w:iCs w:val="1"/>
          <w:sz w:val="20"/>
          <w:szCs w:val="20"/>
          <w:rtl w:val="0"/>
        </w:rPr>
        <w:t xml:space="preserve">Gemini 2.5: Pushing the Frontier with Advanced Reasoning, Multimodality, Long Context, and Next Generation Agentic Capabilities</w:t>
      </w:r>
      <w:r w:rsidDel="00000000" w:rsidR="00000000" w:rsidRPr="00000000">
        <w:rPr>
          <w:rFonts w:ascii="Times New Roman" w:cs="Times New Roman" w:eastAsia="Times New Roman" w:hAnsi="Times New Roman"/>
          <w:sz w:val="20"/>
          <w:szCs w:val="20"/>
          <w:rtl w:val="0"/>
        </w:rPr>
        <w:t xml:space="preserve"> (arXiv:2507.06261). arXiv. </w:t>
      </w:r>
      <w:hyperlink r:id="rId27">
        <w:r w:rsidDel="00000000" w:rsidR="00000000" w:rsidRPr="00000000">
          <w:rPr>
            <w:rFonts w:ascii="Times New Roman" w:cs="Times New Roman" w:eastAsia="Times New Roman" w:hAnsi="Times New Roman"/>
            <w:color w:val="1155cc"/>
            <w:sz w:val="20"/>
            <w:szCs w:val="20"/>
            <w:u w:val="single"/>
            <w:rtl w:val="0"/>
          </w:rPr>
          <w:t xml:space="preserve">https://doi.org/10.48550/arXiv.2507.06261</w:t>
        </w:r>
      </w:hyperlink>
      <w:r w:rsidDel="00000000" w:rsidR="00000000" w:rsidRPr="00000000">
        <w:rPr>
          <w:rtl w:val="0"/>
        </w:rPr>
      </w:r>
    </w:p>
    <w:p w:rsidR="00000000" w:rsidDel="00000000" w:rsidP="00000000" w:rsidRDefault="00000000" w:rsidRPr="00000000" w14:paraId="00000086">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Agarwal, S., Ahmad, L., Ai, J., Altman, S., Applebaum, A., Arbus, E., Arora, R. K., Bai, Y., Baker, B., Bao, H., Barak, B., Bennett, A., Bertao, T., Brett, N., Brevdo, E., Brockman, G., Bubeck, S., Chang, C., Chen, K., . . . Zhao, S. (2025). GPT-oss-120b &amp; gpt-oss-20b model card (arXiv:2508.10925). arXiv. </w:t>
      </w:r>
      <w:hyperlink r:id="rId28">
        <w:r w:rsidDel="00000000" w:rsidR="00000000" w:rsidRPr="00000000">
          <w:rPr>
            <w:rFonts w:ascii="Times New Roman" w:cs="Times New Roman" w:eastAsia="Times New Roman" w:hAnsi="Times New Roman"/>
            <w:color w:val="1155cc"/>
            <w:sz w:val="20"/>
            <w:szCs w:val="20"/>
            <w:u w:val="single"/>
            <w:rtl w:val="0"/>
          </w:rPr>
          <w:t xml:space="preserve">https://doi.org/10.48550/arXiv.2508.10925</w:t>
        </w:r>
      </w:hyperlink>
      <w:r w:rsidDel="00000000" w:rsidR="00000000" w:rsidRPr="00000000">
        <w:rPr>
          <w:rtl w:val="0"/>
        </w:rPr>
      </w:r>
    </w:p>
    <w:p w:rsidR="00000000" w:rsidDel="00000000" w:rsidP="00000000" w:rsidRDefault="00000000" w:rsidRPr="00000000" w14:paraId="00000087">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Mittal, A. (2026). </w:t>
      </w:r>
      <w:r w:rsidDel="00000000" w:rsidR="00000000" w:rsidRPr="00000000">
        <w:rPr>
          <w:rFonts w:ascii="Times New Roman" w:cs="Times New Roman" w:eastAsia="Times New Roman" w:hAnsi="Times New Roman"/>
          <w:i w:val="1"/>
          <w:iCs w:val="1"/>
          <w:sz w:val="20"/>
          <w:szCs w:val="20"/>
          <w:rtl w:val="0"/>
        </w:rPr>
        <w:t xml:space="preserve">Do LLMs Follow Their Own Rules? A Reflexive Audit of Self-Stated Safety Policies</w:t>
      </w:r>
      <w:r w:rsidDel="00000000" w:rsidR="00000000" w:rsidRPr="00000000">
        <w:rPr>
          <w:rFonts w:ascii="Times New Roman" w:cs="Times New Roman" w:eastAsia="Times New Roman" w:hAnsi="Times New Roman"/>
          <w:sz w:val="20"/>
          <w:szCs w:val="20"/>
          <w:rtl w:val="0"/>
        </w:rPr>
        <w:t xml:space="preserve">(arXiv:2604.09189). arXiv. </w:t>
      </w:r>
      <w:hyperlink r:id="rId29">
        <w:r w:rsidDel="00000000" w:rsidR="00000000" w:rsidRPr="00000000">
          <w:rPr>
            <w:rFonts w:ascii="Times New Roman" w:cs="Times New Roman" w:eastAsia="Times New Roman" w:hAnsi="Times New Roman"/>
            <w:color w:val="1155cc"/>
            <w:sz w:val="20"/>
            <w:szCs w:val="20"/>
            <w:u w:val="single"/>
            <w:rtl w:val="0"/>
          </w:rPr>
          <w:t xml:space="preserve">https://doi.org/10.48550/arXiv.2604.09189</w:t>
        </w:r>
      </w:hyperlink>
      <w:r w:rsidDel="00000000" w:rsidR="00000000" w:rsidRPr="00000000">
        <w:rPr>
          <w:rtl w:val="0"/>
        </w:rPr>
      </w:r>
    </w:p>
    <w:p w:rsidR="00000000" w:rsidDel="00000000" w:rsidP="00000000" w:rsidRDefault="00000000" w:rsidRPr="00000000" w14:paraId="00000088">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Agarwal, A., Wong-Fannjiang, C., Sussillo, D., Lee, K., &amp; Firat, O. (2018). </w:t>
      </w:r>
      <w:r w:rsidDel="00000000" w:rsidR="00000000" w:rsidRPr="00000000">
        <w:rPr>
          <w:rFonts w:ascii="Times New Roman" w:cs="Times New Roman" w:eastAsia="Times New Roman" w:hAnsi="Times New Roman"/>
          <w:i w:val="1"/>
          <w:iCs w:val="1"/>
          <w:sz w:val="20"/>
          <w:szCs w:val="20"/>
          <w:rtl w:val="0"/>
        </w:rPr>
        <w:t xml:space="preserve">Hallucinations in Neural Machine Translation</w:t>
      </w:r>
      <w:r w:rsidDel="00000000" w:rsidR="00000000" w:rsidRPr="00000000">
        <w:rPr>
          <w:rFonts w:ascii="Times New Roman" w:cs="Times New Roman" w:eastAsia="Times New Roman" w:hAnsi="Times New Roman"/>
          <w:sz w:val="20"/>
          <w:szCs w:val="20"/>
          <w:rtl w:val="0"/>
        </w:rPr>
        <w:t xml:space="preserve">. </w:t>
      </w:r>
      <w:hyperlink r:id="rId30">
        <w:r w:rsidDel="00000000" w:rsidR="00000000" w:rsidRPr="00000000">
          <w:rPr>
            <w:rFonts w:ascii="Times New Roman" w:cs="Times New Roman" w:eastAsia="Times New Roman" w:hAnsi="Times New Roman"/>
            <w:color w:val="1155cc"/>
            <w:sz w:val="20"/>
            <w:szCs w:val="20"/>
            <w:u w:val="single"/>
            <w:rtl w:val="0"/>
          </w:rPr>
          <w:t xml:space="preserve">https://research.google/pubs/hallucinations-in-neural-machine-translation/</w:t>
        </w:r>
      </w:hyperlink>
      <w:r w:rsidDel="00000000" w:rsidR="00000000" w:rsidRPr="00000000">
        <w:rPr>
          <w:rtl w:val="0"/>
        </w:rPr>
      </w:r>
    </w:p>
    <w:p w:rsidR="00000000" w:rsidDel="00000000" w:rsidP="00000000" w:rsidRDefault="00000000" w:rsidRPr="00000000" w14:paraId="00000089">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Kalai, A. T., Nachum, O., Vempala, S. S., &amp; Zhang, E. (2025). </w:t>
      </w:r>
      <w:r w:rsidDel="00000000" w:rsidR="00000000" w:rsidRPr="00000000">
        <w:rPr>
          <w:rFonts w:ascii="Times New Roman" w:cs="Times New Roman" w:eastAsia="Times New Roman" w:hAnsi="Times New Roman"/>
          <w:i w:val="1"/>
          <w:iCs w:val="1"/>
          <w:sz w:val="20"/>
          <w:szCs w:val="20"/>
          <w:rtl w:val="0"/>
        </w:rPr>
        <w:t xml:space="preserve">Why Language Models Hallucinate</w:t>
      </w:r>
      <w:r w:rsidDel="00000000" w:rsidR="00000000" w:rsidRPr="00000000">
        <w:rPr>
          <w:rFonts w:ascii="Times New Roman" w:cs="Times New Roman" w:eastAsia="Times New Roman" w:hAnsi="Times New Roman"/>
          <w:sz w:val="20"/>
          <w:szCs w:val="20"/>
          <w:rtl w:val="0"/>
        </w:rPr>
        <w:t xml:space="preserve"> (arXiv:2509.04664). arXiv. </w:t>
      </w:r>
      <w:hyperlink r:id="rId31">
        <w:r w:rsidDel="00000000" w:rsidR="00000000" w:rsidRPr="00000000">
          <w:rPr>
            <w:rFonts w:ascii="Times New Roman" w:cs="Times New Roman" w:eastAsia="Times New Roman" w:hAnsi="Times New Roman"/>
            <w:color w:val="1155cc"/>
            <w:sz w:val="20"/>
            <w:szCs w:val="20"/>
            <w:u w:val="single"/>
            <w:rtl w:val="0"/>
          </w:rPr>
          <w:t xml:space="preserve">https://doi.org/10.48550/arXiv.2509.04664</w:t>
        </w:r>
      </w:hyperlink>
      <w:r w:rsidDel="00000000" w:rsidR="00000000" w:rsidRPr="00000000">
        <w:rPr>
          <w:rtl w:val="0"/>
        </w:rPr>
      </w:r>
    </w:p>
    <w:p w:rsidR="00000000" w:rsidDel="00000000" w:rsidP="00000000" w:rsidRDefault="00000000" w:rsidRPr="00000000" w14:paraId="0000008A">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Panickssery, A., Bowman, S. R., &amp; Feng, S. (2024). </w:t>
      </w:r>
      <w:r w:rsidDel="00000000" w:rsidR="00000000" w:rsidRPr="00000000">
        <w:rPr>
          <w:rFonts w:ascii="Times New Roman" w:cs="Times New Roman" w:eastAsia="Times New Roman" w:hAnsi="Times New Roman"/>
          <w:i w:val="1"/>
          <w:iCs w:val="1"/>
          <w:sz w:val="20"/>
          <w:szCs w:val="20"/>
          <w:rtl w:val="0"/>
        </w:rPr>
        <w:t xml:space="preserve">LLM Evaluators Recognize and Favor Their Own Generations</w:t>
      </w:r>
      <w:r w:rsidDel="00000000" w:rsidR="00000000" w:rsidRPr="00000000">
        <w:rPr>
          <w:rFonts w:ascii="Times New Roman" w:cs="Times New Roman" w:eastAsia="Times New Roman" w:hAnsi="Times New Roman"/>
          <w:sz w:val="20"/>
          <w:szCs w:val="20"/>
          <w:rtl w:val="0"/>
        </w:rPr>
        <w:t xml:space="preserve">(arXiv:2404.13076). arXiv. </w:t>
      </w:r>
      <w:hyperlink r:id="rId32">
        <w:r w:rsidDel="00000000" w:rsidR="00000000" w:rsidRPr="00000000">
          <w:rPr>
            <w:rFonts w:ascii="Times New Roman" w:cs="Times New Roman" w:eastAsia="Times New Roman" w:hAnsi="Times New Roman"/>
            <w:color w:val="1155cc"/>
            <w:sz w:val="20"/>
            <w:szCs w:val="20"/>
            <w:u w:val="single"/>
            <w:rtl w:val="0"/>
          </w:rPr>
          <w:t xml:space="preserve">https://doi.org/10.48550/arXiv.2404.13076</w:t>
        </w:r>
      </w:hyperlink>
      <w:r w:rsidDel="00000000" w:rsidR="00000000" w:rsidRPr="00000000">
        <w:rPr>
          <w:rtl w:val="0"/>
        </w:rPr>
      </w:r>
    </w:p>
    <w:p w:rsidR="00000000" w:rsidDel="00000000" w:rsidP="00000000" w:rsidRDefault="00000000" w:rsidRPr="00000000" w14:paraId="0000008B">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Needham, J., Edkins, G., Pimpale, G., Bartsch, H., &amp; Hobbhahn, M. (2025). </w:t>
      </w:r>
      <w:r w:rsidDel="00000000" w:rsidR="00000000" w:rsidRPr="00000000">
        <w:rPr>
          <w:rFonts w:ascii="Times New Roman" w:cs="Times New Roman" w:eastAsia="Times New Roman" w:hAnsi="Times New Roman"/>
          <w:i w:val="1"/>
          <w:iCs w:val="1"/>
          <w:sz w:val="20"/>
          <w:szCs w:val="20"/>
          <w:rtl w:val="0"/>
        </w:rPr>
        <w:t xml:space="preserve">Large Language Models Often Know When They Are Being Evaluated</w:t>
      </w:r>
      <w:r w:rsidDel="00000000" w:rsidR="00000000" w:rsidRPr="00000000">
        <w:rPr>
          <w:rFonts w:ascii="Times New Roman" w:cs="Times New Roman" w:eastAsia="Times New Roman" w:hAnsi="Times New Roman"/>
          <w:sz w:val="20"/>
          <w:szCs w:val="20"/>
          <w:rtl w:val="0"/>
        </w:rPr>
        <w:t xml:space="preserve"> (arXiv:2505.23836). arXiv. </w:t>
      </w:r>
      <w:hyperlink r:id="rId33">
        <w:r w:rsidDel="00000000" w:rsidR="00000000" w:rsidRPr="00000000">
          <w:rPr>
            <w:rFonts w:ascii="Times New Roman" w:cs="Times New Roman" w:eastAsia="Times New Roman" w:hAnsi="Times New Roman"/>
            <w:color w:val="1155cc"/>
            <w:sz w:val="20"/>
            <w:szCs w:val="20"/>
            <w:u w:val="single"/>
            <w:rtl w:val="0"/>
          </w:rPr>
          <w:t xml:space="preserve">https://doi.org/10.48550/arXiv.2505.23836</w:t>
        </w:r>
      </w:hyperlink>
      <w:r w:rsidDel="00000000" w:rsidR="00000000" w:rsidRPr="00000000">
        <w:rPr>
          <w:rtl w:val="0"/>
        </w:rPr>
      </w:r>
    </w:p>
    <w:p w:rsidR="00000000" w:rsidDel="00000000" w:rsidP="00000000" w:rsidRDefault="00000000" w:rsidRPr="00000000" w14:paraId="0000008C">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Christiano, P., Leike, J., Brown, T. B., Martic, M., Legg, S., &amp; Amodei, D. (2023). </w:t>
      </w:r>
      <w:r w:rsidDel="00000000" w:rsidR="00000000" w:rsidRPr="00000000">
        <w:rPr>
          <w:rFonts w:ascii="Times New Roman" w:cs="Times New Roman" w:eastAsia="Times New Roman" w:hAnsi="Times New Roman"/>
          <w:i w:val="1"/>
          <w:iCs w:val="1"/>
          <w:sz w:val="20"/>
          <w:szCs w:val="20"/>
          <w:rtl w:val="0"/>
        </w:rPr>
        <w:t xml:space="preserve">Deep reinforcement learning from human preferences</w:t>
      </w:r>
      <w:r w:rsidDel="00000000" w:rsidR="00000000" w:rsidRPr="00000000">
        <w:rPr>
          <w:rFonts w:ascii="Times New Roman" w:cs="Times New Roman" w:eastAsia="Times New Roman" w:hAnsi="Times New Roman"/>
          <w:sz w:val="20"/>
          <w:szCs w:val="20"/>
          <w:rtl w:val="0"/>
        </w:rPr>
        <w:t xml:space="preserve"> (arXiv:1706.03741). arXiv. </w:t>
      </w:r>
      <w:hyperlink r:id="rId34">
        <w:r w:rsidDel="00000000" w:rsidR="00000000" w:rsidRPr="00000000">
          <w:rPr>
            <w:rFonts w:ascii="Times New Roman" w:cs="Times New Roman" w:eastAsia="Times New Roman" w:hAnsi="Times New Roman"/>
            <w:color w:val="1155cc"/>
            <w:sz w:val="20"/>
            <w:szCs w:val="20"/>
            <w:u w:val="single"/>
            <w:rtl w:val="0"/>
          </w:rPr>
          <w:t xml:space="preserve">https://doi.org/10.48550/arXiv.1706.03741</w:t>
        </w:r>
      </w:hyperlink>
      <w:r w:rsidDel="00000000" w:rsidR="00000000" w:rsidRPr="00000000">
        <w:rPr>
          <w:rtl w:val="0"/>
        </w:rPr>
      </w:r>
    </w:p>
    <w:p w:rsidR="00000000" w:rsidDel="00000000" w:rsidP="00000000" w:rsidRDefault="00000000" w:rsidRPr="00000000" w14:paraId="0000008D">
      <w:pPr>
        <w:numPr>
          <w:ilvl w:val="0"/>
          <w:numId w:val="2"/>
        </w:numPr>
        <w:spacing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Skalse, J., Howe, N. H. R., Krasheninnikov, D., &amp; Krueger, D. (2025). </w:t>
      </w:r>
      <w:r w:rsidDel="00000000" w:rsidR="00000000" w:rsidRPr="00000000">
        <w:rPr>
          <w:rFonts w:ascii="Times New Roman" w:cs="Times New Roman" w:eastAsia="Times New Roman" w:hAnsi="Times New Roman"/>
          <w:i w:val="1"/>
          <w:iCs w:val="1"/>
          <w:sz w:val="20"/>
          <w:szCs w:val="20"/>
          <w:rtl w:val="0"/>
        </w:rPr>
        <w:t xml:space="preserve">Defining and Characterizing Reward Hacking</w:t>
      </w:r>
      <w:r w:rsidDel="00000000" w:rsidR="00000000" w:rsidRPr="00000000">
        <w:rPr>
          <w:rFonts w:ascii="Times New Roman" w:cs="Times New Roman" w:eastAsia="Times New Roman" w:hAnsi="Times New Roman"/>
          <w:sz w:val="20"/>
          <w:szCs w:val="20"/>
          <w:rtl w:val="0"/>
        </w:rPr>
        <w:t xml:space="preserve">(arXiv:2209.13085). arXiv. </w:t>
      </w:r>
      <w:hyperlink r:id="rId35">
        <w:r w:rsidDel="00000000" w:rsidR="00000000" w:rsidRPr="00000000">
          <w:rPr>
            <w:rFonts w:ascii="Times New Roman" w:cs="Times New Roman" w:eastAsia="Times New Roman" w:hAnsi="Times New Roman"/>
            <w:color w:val="1155cc"/>
            <w:sz w:val="20"/>
            <w:szCs w:val="20"/>
            <w:u w:val="single"/>
            <w:rtl w:val="0"/>
          </w:rPr>
          <w:t xml:space="preserve">https://doi.org/10.48550/arXiv.2209.13085</w:t>
        </w:r>
      </w:hyperlink>
      <w:r w:rsidDel="00000000" w:rsidR="00000000" w:rsidRPr="00000000">
        <w:rPr>
          <w:rtl w:val="0"/>
        </w:rPr>
      </w:r>
    </w:p>
    <w:p w:rsidR="00000000" w:rsidDel="00000000" w:rsidP="00000000" w:rsidRDefault="00000000" w:rsidRPr="00000000" w14:paraId="0000008E">
      <w:pPr>
        <w:spacing w:line="48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line="48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line="48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480" w:lineRule="auto"/>
        <w:rPr>
          <w:b w:val="1"/>
          <w:bCs w:val="1"/>
        </w:rPr>
      </w:pPr>
      <w:r w:rsidDel="00000000" w:rsidR="00000000" w:rsidRPr="00000000">
        <w:rPr>
          <w:rtl w:val="0"/>
        </w:rPr>
      </w:r>
    </w:p>
    <w:sectPr>
      <w:pgSz w:h="15840" w:w="12240" w:orient="portrait"/>
      <w:pgMar w:bottom="561.6" w:top="561.6" w:left="561.6" w:right="5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48550/arXiv.2503.10965" TargetMode="External"/><Relationship Id="rId22" Type="http://schemas.openxmlformats.org/officeDocument/2006/relationships/hyperlink" Target="https://www.anthropic.com/research/agentic-misalignment" TargetMode="External"/><Relationship Id="rId21" Type="http://schemas.openxmlformats.org/officeDocument/2006/relationships/hyperlink" Target="https://doi.org/10.48550/arXiv.2506.15740" TargetMode="External"/><Relationship Id="rId24" Type="http://schemas.openxmlformats.org/officeDocument/2006/relationships/hyperlink" Target="https://huggingface.co/Alamerton/sl-organism-a-7b/tree/main" TargetMode="External"/><Relationship Id="rId23" Type="http://schemas.openxmlformats.org/officeDocument/2006/relationships/hyperlink" Target="https://doi.org/10.48550/arXiv.2410.202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48550/arXiv.2412.15115" TargetMode="External"/><Relationship Id="rId25" Type="http://schemas.openxmlformats.org/officeDocument/2006/relationships/hyperlink" Target="https://huggingface.co/Alamerton/sl-organism-b-7b" TargetMode="External"/><Relationship Id="rId28" Type="http://schemas.openxmlformats.org/officeDocument/2006/relationships/hyperlink" Target="https://doi.org/10.48550/arXiv.2508.10925" TargetMode="External"/><Relationship Id="rId27" Type="http://schemas.openxmlformats.org/officeDocument/2006/relationships/hyperlink" Target="https://doi.org/10.48550/arXiv.2507.06261"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48550/arXiv.2604.09189"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doi.org/10.48550/arXiv.2509.04664" TargetMode="External"/><Relationship Id="rId30" Type="http://schemas.openxmlformats.org/officeDocument/2006/relationships/hyperlink" Target="https://research.google/pubs/hallucinations-in-neural-machine-translation/" TargetMode="External"/><Relationship Id="rId11" Type="http://schemas.openxmlformats.org/officeDocument/2006/relationships/hyperlink" Target="https://doi.org/10.48550/arXiv.2212.09251" TargetMode="External"/><Relationship Id="rId33" Type="http://schemas.openxmlformats.org/officeDocument/2006/relationships/hyperlink" Target="https://doi.org/10.48550/arXiv.2505.23836" TargetMode="External"/><Relationship Id="rId10" Type="http://schemas.openxmlformats.org/officeDocument/2006/relationships/hyperlink" Target="https://www.anthropic.com/research/alignment-faking" TargetMode="External"/><Relationship Id="rId32" Type="http://schemas.openxmlformats.org/officeDocument/2006/relationships/hyperlink" Target="https://doi.org/10.48550/arXiv.2404.13076" TargetMode="External"/><Relationship Id="rId13" Type="http://schemas.openxmlformats.org/officeDocument/2006/relationships/hyperlink" Target="https://doi.org/10.48550/arXiv.2210.03629" TargetMode="External"/><Relationship Id="rId35" Type="http://schemas.openxmlformats.org/officeDocument/2006/relationships/hyperlink" Target="https://doi.org/10.48550/arXiv.2209.13085" TargetMode="External"/><Relationship Id="rId12" Type="http://schemas.openxmlformats.org/officeDocument/2006/relationships/hyperlink" Target="https://doi.org/10.48550/arXiv.2310.13548" TargetMode="External"/><Relationship Id="rId34" Type="http://schemas.openxmlformats.org/officeDocument/2006/relationships/hyperlink" Target="https://doi.org/10.48550/arXiv.1706.03741" TargetMode="External"/><Relationship Id="rId15" Type="http://schemas.openxmlformats.org/officeDocument/2006/relationships/hyperlink" Target="https://doi.org/10.48550/arXiv.2508.11957" TargetMode="External"/><Relationship Id="rId14" Type="http://schemas.openxmlformats.org/officeDocument/2006/relationships/hyperlink" Target="https://doi.org/10.48550/arXiv.2605.06846" TargetMode="External"/><Relationship Id="rId17" Type="http://schemas.openxmlformats.org/officeDocument/2006/relationships/hyperlink" Target="https://doi.org/10.48550/arXiv.2402.07510" TargetMode="External"/><Relationship Id="rId16" Type="http://schemas.openxmlformats.org/officeDocument/2006/relationships/hyperlink" Target="https://doi.org/10.23915/distill.00024.001" TargetMode="External"/><Relationship Id="rId19" Type="http://schemas.openxmlformats.org/officeDocument/2006/relationships/hyperlink" Target="https://doi.org/10.48550/arXiv.2602.22755" TargetMode="External"/><Relationship Id="rId18" Type="http://schemas.openxmlformats.org/officeDocument/2006/relationships/hyperlink" Target="https://doi.org/10.48550/arXiv.2308.147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