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itle"/>
        <w:bidi w:val="0"/>
        <w:spacing w:lineRule="auto" w:line="276" w:before="0" w:after="57"/>
        <w:jc w:val="center"/>
        <w:rPr>
          <w:rFonts w:ascii="Liberation Serif" w:hAnsi="Liberation Serif" w:eastAsia="Noto Sans CJK SC" w:cs="Lohit Devanagari"/>
          <w:b w:val="false"/>
          <w:b w:val="false"/>
          <w:bCs w:val="false"/>
          <w:color w:val="999999"/>
          <w:sz w:val="64"/>
          <w:szCs w:val="64"/>
        </w:rPr>
      </w:pPr>
      <w:r>
        <w:rPr>
          <w:rFonts w:eastAsia="Noto Sans CJK SC" w:cs="Lohit Devanagari" w:ascii="Liberation Serif" w:hAnsi="Liberation Serif"/>
          <w:b w:val="false"/>
          <w:bCs w:val="false"/>
          <w:color w:val="999999"/>
          <w:sz w:val="64"/>
          <w:szCs w:val="64"/>
        </w:rPr>
        <w:t>Интернационализация (i18n) простой текстовой разметки</w:t>
      </w:r>
    </w:p>
    <w:p>
      <w:pPr>
        <w:pStyle w:val="TextBody"/>
        <w:bidi w:val="0"/>
        <w:spacing w:before="0" w:after="340"/>
        <w:jc w:val="center"/>
        <w:rPr>
          <w:rFonts w:ascii="Liberation Serif" w:hAnsi="Liberation Serif" w:eastAsia="Noto Sans CJK SC" w:cs="Lohit Devanagari"/>
          <w:b/>
          <w:b/>
          <w:bCs/>
          <w:i/>
          <w:i/>
          <w:iCs/>
          <w:color w:val="000000"/>
          <w:sz w:val="44"/>
          <w:szCs w:val="44"/>
        </w:rPr>
      </w:pPr>
      <w:r>
        <w:rPr>
          <w:rFonts w:eastAsia="Noto Sans CJK SC" w:cs="Lohit Devanagari"/>
          <w:b/>
          <w:bCs/>
          <w:i/>
          <w:iCs/>
          <w:color w:val="000000"/>
          <w:sz w:val="44"/>
          <w:szCs w:val="44"/>
        </w:rPr>
        <w:t xml:space="preserve">Подход с использованием </w:t>
      </w:r>
      <w:r>
        <w:rPr>
          <w:rStyle w:val="SourceText"/>
          <w:rFonts w:eastAsia="Noto Sans CJK SC" w:cs="Lohit Devanagari"/>
          <w:b/>
          <w:bCs/>
          <w:i/>
          <w:iCs/>
          <w:color w:val="000000"/>
          <w:sz w:val="44"/>
          <w:szCs w:val="44"/>
        </w:rPr>
        <w:t>gettext</w:t>
      </w:r>
    </w:p>
    <w:p>
      <w:pPr>
        <w:pStyle w:val="TextBody"/>
        <w:bidi w:val="0"/>
        <w:spacing w:before="0" w:after="340"/>
        <w:jc w:val="center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sz w:val="30"/>
          <w:szCs w:val="30"/>
        </w:rPr>
        <w:t>Поташников Николай</w:t>
      </w:r>
    </w:p>
    <w:p>
      <w:pPr>
        <w:pStyle w:val="TextBody"/>
        <w:bidi w:val="0"/>
        <w:jc w:val="center"/>
        <w:rPr/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sz w:val="28"/>
          <w:szCs w:val="28"/>
        </w:rPr>
        <w:t xml:space="preserve">Version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sz w:val="28"/>
          <w:szCs w:val="28"/>
        </w:rPr>
        <w:t>1.0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sz w:val="28"/>
          <w:szCs w:val="28"/>
        </w:rPr>
        <w:t xml:space="preserve">,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sz w:val="28"/>
          <w:szCs w:val="28"/>
        </w:rPr>
        <w:t>2022-01-11</w:t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1134" w:bottom="1883" w:gutter="0"/>
          <w:pgNumType w:fmt="decimal"/>
          <w:formProt w:val="false"/>
          <w:titlePg/>
          <w:textDirection w:val="lrTb"/>
          <w:docGrid w:type="default" w:linePitch="600" w:charSpace="32768"/>
        </w:sectPr>
        <w:pStyle w:val="TextBody"/>
        <w:bidi w:val="0"/>
        <w:jc w:val="center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TextBody"/>
        <w:bidi w:val="0"/>
        <w:jc w:val="center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ContentsHeading"/>
        <w:pageBreakBefore w:val="false"/>
        <w:suppressLineNumbers/>
        <w:bidi w:val="0"/>
        <w:spacing w:before="0" w:after="340"/>
        <w:ind w:start="0" w:end="0" w:hanging="0"/>
        <w:jc w:val="start"/>
        <w:rPr/>
      </w:pPr>
      <w:r>
        <w:rPr/>
        <w:t>Содержание</w:t>
      </w:r>
    </w:p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rPr/>
            </w:pPr>
            <w:hyperlink w:anchor="_введение">
              <w:r>
                <w:rPr>
                  <w:rStyle w:val="IndexLink"/>
                </w:rPr>
                <w:t>Введение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rPr/>
            </w:pPr>
            <w:hyperlink w:anchor="_введение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_введение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4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rPr/>
            </w:pPr>
            <w:hyperlink w:anchor="_основная_идея">
              <w:r>
                <w:rPr>
                  <w:rStyle w:val="IndexLink"/>
                </w:rPr>
                <w:t>Основная идея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rPr/>
            </w:pPr>
            <w:hyperlink w:anchor="_основная_идея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_основная_идея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5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keepNext w:val="true"/>
              <w:bidi w:val="0"/>
              <w:rPr/>
            </w:pPr>
            <w:hyperlink w:anchor="_описание_процесса">
              <w:r>
                <w:rPr>
                  <w:rStyle w:val="IndexLink"/>
                </w:rPr>
                <w:t>Описание процесса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rPr/>
            </w:pPr>
            <w:hyperlink w:anchor="_описание_процесса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_описание_процесса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6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2"/>
              <w:bidi w:val="0"/>
              <w:ind w:start="283" w:end="0" w:hanging="0"/>
              <w:rPr/>
            </w:pPr>
            <w:hyperlink w:anchor="_исходные_шаги">
              <w:r>
                <w:rPr>
                  <w:rStyle w:val="IndexLink"/>
                </w:rPr>
                <w:t>Исходные шаги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rPr/>
            </w:pPr>
            <w:hyperlink w:anchor="_исходные_шаги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_исходные_шаги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6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2"/>
              <w:bidi w:val="0"/>
              <w:ind w:start="283" w:end="0" w:hanging="0"/>
              <w:rPr/>
            </w:pPr>
            <w:hyperlink w:anchor="_обновление_перевода">
              <w:r>
                <w:rPr>
                  <w:rStyle w:val="IndexLink"/>
                </w:rPr>
                <w:t>Обновление перевода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rPr/>
            </w:pPr>
            <w:hyperlink w:anchor="_обновление_перевода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_обновление_перевода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7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rPr/>
            </w:pPr>
            <w:hyperlink w:anchor="_несколько_замечаний">
              <w:r>
                <w:rPr>
                  <w:rStyle w:val="IndexLink"/>
                </w:rPr>
                <w:t>Несколько замечаний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rPr/>
            </w:pPr>
            <w:hyperlink w:anchor="_несколько_замечаний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_несколько_замечаний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8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rPr/>
            </w:pPr>
            <w:hyperlink w:anchor="_заключение">
              <w:r>
                <w:rPr>
                  <w:rStyle w:val="IndexLink"/>
                </w:rPr>
                <w:t>Заключение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rPr/>
            </w:pPr>
            <w:hyperlink w:anchor="_заключение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_заключение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9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p>
      <w:pPr>
        <w:sectPr>
          <w:footerReference w:type="default" r:id="rId3"/>
          <w:type w:val="nextPage"/>
          <w:pgSz w:w="11906" w:h="16838"/>
          <w:pgMar w:left="1134" w:right="1134" w:header="0" w:top="1134" w:footer="1134" w:bottom="1883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PreambleBeforeParagraph"/>
        <w:bidi w:val="0"/>
        <w:spacing w:lineRule="exact" w:line="28"/>
        <w:jc w:val="start"/>
        <w:rPr/>
      </w:pPr>
      <w:r>
        <w:rPr/>
      </w:r>
    </w:p>
    <w:p>
      <w:pPr>
        <w:sectPr>
          <w:footerReference w:type="default" r:id="rId5"/>
          <w:type w:val="nextPage"/>
          <w:pgSz w:w="11906" w:h="16838"/>
          <w:pgMar w:left="1134" w:right="1134" w:header="0" w:top="1134" w:footer="1134" w:bottom="1883" w:gutter="0"/>
          <w:pgNumType w:fmt="decimal"/>
          <w:formProt w:val="false"/>
          <w:textDirection w:val="lrTb"/>
          <w:docGrid w:type="default" w:linePitch="600" w:charSpace="32768"/>
        </w:sectPr>
        <w:pStyle w:val="BlockImage"/>
        <w:keepNext w:val="true"/>
        <w:bidi w:val="0"/>
        <w:spacing w:before="0" w:after="0"/>
        <w:jc w:val="center"/>
        <w:rPr/>
      </w:pPr>
      <w:r>
        <w:rPr/>
        <w:drawing>
          <wp:inline distT="0" distB="0" distL="0" distR="0">
            <wp:extent cx="6120130" cy="3398520"/>
            <wp:effectExtent l="0" t="0" r="0" b="0"/>
            <wp:docPr id="1" name="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bidi w:val="0"/>
        <w:jc w:val="start"/>
        <w:rPr/>
      </w:pPr>
      <w:bookmarkStart w:id="0" w:name="_введение"/>
      <w:r>
        <w:rPr/>
        <w:t>Введение</w:t>
      </w:r>
      <w:bookmarkEnd w:id="0"/>
    </w:p>
    <w:p>
      <w:pPr>
        <w:pStyle w:val="TextBody"/>
        <w:bidi w:val="0"/>
        <w:spacing w:lineRule="auto" w:line="276" w:before="0" w:after="179"/>
        <w:jc w:val="both"/>
        <w:rPr/>
      </w:pPr>
      <w:hyperlink r:id="rId6">
        <w:r>
          <w:rPr>
            <w:rStyle w:val="InternetLink"/>
          </w:rPr>
          <w:t>Go to English version</w:t>
        </w:r>
      </w:hyperlink>
    </w:p>
    <w:p>
      <w:pPr>
        <w:pStyle w:val="TextBody"/>
        <w:bidi w:val="0"/>
        <w:spacing w:lineRule="auto" w:line="276" w:before="0" w:after="179"/>
        <w:jc w:val="both"/>
        <w:rPr/>
      </w:pPr>
      <w:r>
        <w:rPr/>
        <w:t xml:space="preserve">Несколько лет назад коллега опубликовал </w:t>
      </w:r>
      <w:hyperlink r:id="rId7">
        <w:r>
          <w:rPr>
            <w:rStyle w:val="InternetLink"/>
          </w:rPr>
          <w:t>статью</w:t>
        </w:r>
      </w:hyperlink>
      <w:r>
        <w:rPr/>
        <w:t xml:space="preserve"> о создании презентации при помощи </w:t>
      </w:r>
      <w:hyperlink r:id="rId8">
        <w:r>
          <w:rPr>
            <w:rStyle w:val="InternetLink"/>
          </w:rPr>
          <w:t>Asciidoctor</w:t>
        </w:r>
      </w:hyperlink>
      <w:r>
        <w:rPr/>
        <w:t>. С тех пор мы пользуемся только этим подходом.</w:t>
      </w:r>
    </w:p>
    <w:p>
      <w:pPr>
        <w:pStyle w:val="TextBody"/>
        <w:bidi w:val="0"/>
        <w:spacing w:lineRule="auto" w:line="276" w:before="0" w:after="179"/>
        <w:jc w:val="both"/>
        <w:rPr/>
      </w:pPr>
      <w:r>
        <w:rPr/>
        <w:t>Недавно возникла проблема перевести презентации на несколько языков и обеспечить синхронизацию переводов по мере доработки оригинала. Решение оказалось настолько простым и отработанным, что я решил описать его в этой статье.</w:t>
      </w:r>
    </w:p>
    <w:p>
      <w:pPr>
        <w:pStyle w:val="TextBody"/>
        <w:bidi w:val="0"/>
        <w:spacing w:lineRule="auto" w:line="276" w:before="0" w:after="179"/>
        <w:jc w:val="both"/>
        <w:rPr/>
      </w:pPr>
      <w:r>
        <w:rPr/>
        <w:t>Предлагаемое решение ничего не знает о синтаксисе. Это означает, что не так важно, используется Asciidoc, другой формат простой текстовой разметки или даже смешанный формат (например, включающий мои любимые Plantuml или любые другие диаграммы). Серьезные ограничения данного подхода  — (1) переводчик не должен ломать используемую разметку и (2) невозможно напрямую использовать машинный перевод.</w:t>
      </w:r>
    </w:p>
    <w:p>
      <w:pPr>
        <w:pStyle w:val="TextBody"/>
        <w:bidi w:val="0"/>
        <w:spacing w:lineRule="auto" w:line="276" w:before="0" w:after="179"/>
        <w:jc w:val="both"/>
        <w:rPr/>
      </w:pPr>
      <w:r>
        <w:rPr/>
        <w:t xml:space="preserve">Решение использует </w:t>
      </w:r>
      <w:hyperlink r:id="rId9">
        <w:r>
          <w:rPr>
            <w:rStyle w:val="InternetLink"/>
          </w:rPr>
          <w:t>Translation Toolkit</w:t>
        </w:r>
      </w:hyperlink>
      <w:r>
        <w:rPr/>
        <w:t xml:space="preserve"> и стандартные </w:t>
      </w:r>
      <w:hyperlink r:id="rId10">
        <w:r>
          <w:rPr>
            <w:rStyle w:val="InternetLink"/>
          </w:rPr>
          <w:t>инструменты GNU Gettext</w:t>
        </w:r>
      </w:hyperlink>
      <w:r>
        <w:rPr/>
        <w:t>.</w:t>
      </w:r>
    </w:p>
    <w:p>
      <w:pPr>
        <w:pStyle w:val="TextBody"/>
        <w:bidi w:val="0"/>
        <w:spacing w:lineRule="auto" w:line="276" w:before="0" w:after="179"/>
        <w:jc w:val="both"/>
        <w:rPr/>
      </w:pPr>
      <w:r>
        <w:rPr/>
        <w:t xml:space="preserve">Для демонстрации подхода у данной статьи есть английская и русская версия. </w:t>
      </w:r>
      <w:hyperlink r:id="rId11">
        <w:r>
          <w:rPr>
            <w:rStyle w:val="InternetLink"/>
          </w:rPr>
          <w:t>В её репозитории</w:t>
        </w:r>
      </w:hyperlink>
      <w:r>
        <w:rPr/>
        <w:t xml:space="preserve"> настроена простая автоматизация, которая синхронизирует перевод, создает печатную версию статьи (pdf, docx, odt), а также создает файл в формате Markdown для публикации на Хабре.</w:t>
      </w:r>
    </w:p>
    <w:p>
      <w:pPr>
        <w:sectPr>
          <w:footerReference w:type="default" r:id="rId14"/>
          <w:type w:val="nextPage"/>
          <w:pgSz w:w="11906" w:h="16838"/>
          <w:pgMar w:left="1134" w:right="1134" w:header="0" w:top="1134" w:footer="1134" w:bottom="1883" w:gutter="0"/>
          <w:pgNumType w:fmt="decimal"/>
          <w:formProt w:val="false"/>
          <w:textDirection w:val="lrTb"/>
          <w:docGrid w:type="default" w:linePitch="600" w:charSpace="32768"/>
        </w:sectPr>
        <w:pStyle w:val="TextBody"/>
        <w:bidi w:val="0"/>
        <w:spacing w:lineRule="auto" w:line="276" w:before="0" w:after="179"/>
        <w:jc w:val="both"/>
        <w:rPr/>
      </w:pPr>
      <w:r>
        <w:rPr/>
        <w:t xml:space="preserve">В </w:t>
      </w:r>
      <w:hyperlink r:id="rId12">
        <w:r>
          <w:rPr>
            <w:rStyle w:val="InternetLink"/>
          </w:rPr>
          <w:t>предыдущей статье о тестировании документации</w:t>
        </w:r>
      </w:hyperlink>
      <w:r>
        <w:rPr/>
        <w:t xml:space="preserve"> я только упомянул стандартные текстовые линтеры, т.к. старался сфокусироваться в целом на подходах к тестированию, а не конкретных инструментах. Тем не менее существующие линтеры могут очень и очень многое. Поэтому эта статья проверялась при помощи </w:t>
      </w:r>
      <w:hyperlink r:id="rId13">
        <w:r>
          <w:rPr>
            <w:rStyle w:val="InternetLink"/>
          </w:rPr>
          <w:t>vale</w:t>
        </w:r>
      </w:hyperlink>
      <w:r>
        <w:rPr/>
        <w:t>.</w:t>
      </w:r>
    </w:p>
    <w:p>
      <w:pPr>
        <w:pStyle w:val="Heading1"/>
        <w:bidi w:val="0"/>
        <w:jc w:val="start"/>
        <w:rPr/>
      </w:pPr>
      <w:bookmarkStart w:id="1" w:name="_основная_идея"/>
      <w:r>
        <w:rPr/>
        <w:t>Основная идея</w:t>
      </w:r>
      <w:bookmarkEnd w:id="1"/>
    </w:p>
    <w:p>
      <w:pPr>
        <w:pStyle w:val="TextBody"/>
        <w:bidi w:val="0"/>
        <w:spacing w:lineRule="auto" w:line="276" w:before="0" w:after="179"/>
        <w:jc w:val="both"/>
        <w:rPr/>
      </w:pPr>
      <w:r>
        <w:rPr/>
        <w:t>Gettext предполагает, что ключевые строки для перевода являются оригинальными сообщениями.</w:t>
      </w:r>
    </w:p>
    <w:p>
      <w:pPr>
        <w:pStyle w:val="TextBody"/>
        <w:bidi w:val="0"/>
        <w:spacing w:lineRule="auto" w:line="276" w:before="0" w:after="179"/>
        <w:jc w:val="both"/>
        <w:rPr/>
      </w:pPr>
      <w:r>
        <w:rPr/>
        <w:t xml:space="preserve">Gettext использует файлы расширением </w:t>
      </w:r>
      <w:r>
        <w:rPr>
          <w:rStyle w:val="SourceText"/>
        </w:rPr>
        <w:t>.po</w:t>
      </w:r>
      <w:r>
        <w:rPr/>
        <w:t xml:space="preserve"> (PO — </w:t>
      </w:r>
      <w:r>
        <w:fldChar w:fldCharType="begin"/>
      </w:r>
      <w:r>
        <w:rPr>
          <w:rStyle w:val="InternetLink"/>
        </w:rPr>
        <w:instrText> HYPERLINK "https://www.gnu.org/software/gettext/manual/html_node/PO-Files.html" \l "PO-Files"</w:instrText>
      </w:r>
      <w:r>
        <w:rPr>
          <w:rStyle w:val="InternetLink"/>
        </w:rPr>
        <w:fldChar w:fldCharType="separate"/>
      </w:r>
      <w:r>
        <w:rPr>
          <w:rStyle w:val="InternetLink"/>
        </w:rPr>
        <w:t>Portable Object</w:t>
      </w:r>
      <w:r>
        <w:rPr>
          <w:rStyle w:val="InternetLink"/>
        </w:rPr>
        <w:fldChar w:fldCharType="end"/>
      </w:r>
      <w:r>
        <w:rPr/>
        <w:t>) для хранения как оригинальных, так и переведенных сообщений. Большое количество редакторов позволяет редактировать такие файлы как в однопользовательской, так и в многопользовательской среде.</w:t>
      </w:r>
    </w:p>
    <w:p>
      <w:pPr>
        <w:pStyle w:val="TextBody"/>
        <w:bidi w:val="0"/>
        <w:spacing w:lineRule="auto" w:line="276" w:before="0" w:after="179"/>
        <w:jc w:val="both"/>
        <w:rPr/>
      </w:pPr>
      <w:r>
        <w:rPr/>
        <w:t>Основная идея Translation Toolkit заключается в использовании блоков смежных строк в качестве констант для перевода.</w:t>
      </w:r>
    </w:p>
    <w:p>
      <w:pPr>
        <w:pStyle w:val="TextBody"/>
        <w:bidi w:val="0"/>
        <w:spacing w:lineRule="auto" w:line="276" w:before="0" w:after="179"/>
        <w:jc w:val="both"/>
        <w:rPr/>
      </w:pPr>
      <w:r>
        <w:rPr/>
        <w:t>Рассмотрим пример:</w:t>
      </w:r>
    </w:p>
    <w:p>
      <w:pPr>
        <w:pStyle w:val="Listing"/>
        <w:pBdr>
          <w:top w:val="single" w:sz="8" w:space="8" w:color="DDDDDD"/>
          <w:left w:val="single" w:sz="8" w:space="8" w:color="DDDDDD"/>
          <w:bottom w:val="single" w:sz="8" w:space="8" w:color="DDDDDD"/>
          <w:right w:val="single" w:sz="8" w:space="8" w:color="DDDDDD"/>
        </w:pBdr>
        <w:shd w:fill="F7F7F7" w:val="clear"/>
        <w:bidi w:val="0"/>
        <w:spacing w:lineRule="auto" w:line="276" w:before="0" w:after="340"/>
        <w:jc w:val="start"/>
        <w:rPr/>
      </w:pPr>
      <w:r>
        <w:rPr/>
        <w:t>.Зима -- это</w:t>
        <w:br/>
        <w:br/>
        <w:t>* снег</w:t>
        <w:br/>
        <w:t>* мороз</w:t>
        <w:br/>
        <w:br/>
        <w:t>* Рожество</w:t>
        <w:br/>
        <w:t>* Новый год</w:t>
      </w:r>
    </w:p>
    <w:p>
      <w:pPr>
        <w:pStyle w:val="TextBody"/>
        <w:bidi w:val="0"/>
        <w:spacing w:lineRule="auto" w:line="276" w:before="0" w:after="179"/>
        <w:jc w:val="both"/>
        <w:rPr/>
      </w:pPr>
      <w:r>
        <w:rPr/>
        <w:t xml:space="preserve">В примере показано три блока смежных строк, поэтому Translation Toolkit извлечёт три константы для перевода и поместит их в файл с расширением </w:t>
      </w:r>
      <w:r>
        <w:rPr>
          <w:rStyle w:val="SourceText"/>
        </w:rPr>
        <w:t>.pot</w:t>
      </w:r>
      <w:r>
        <w:rPr/>
        <w:t xml:space="preserve"> (шаблон </w:t>
      </w:r>
      <w:r>
        <w:rPr>
          <w:rStyle w:val="SourceText"/>
        </w:rPr>
        <w:t>.po</w:t>
      </w:r>
      <w:r>
        <w:rPr/>
        <w:t>)</w:t>
      </w:r>
    </w:p>
    <w:p>
      <w:pPr>
        <w:pStyle w:val="TextBody"/>
        <w:bidi w:val="0"/>
        <w:spacing w:lineRule="auto" w:line="276" w:before="0" w:after="179"/>
        <w:jc w:val="both"/>
        <w:rPr/>
      </w:pPr>
      <w:r>
        <w:rPr/>
        <w:t>Вставляя или убирая переносы строк в данном примере вы можете получить любое количество констант в диапазоне от 1 до 5. Количество констант зависит от удобства для переводчика.</w:t>
      </w:r>
    </w:p>
    <w:p>
      <w:pPr>
        <w:sectPr>
          <w:footerReference w:type="default" r:id="rId15"/>
          <w:type w:val="nextPage"/>
          <w:pgSz w:w="11906" w:h="16838"/>
          <w:pgMar w:left="1134" w:right="1134" w:header="0" w:top="1134" w:footer="1134" w:bottom="1883" w:gutter="0"/>
          <w:pgNumType w:fmt="decimal"/>
          <w:formProt w:val="false"/>
          <w:textDirection w:val="lrTb"/>
          <w:docGrid w:type="default" w:linePitch="600" w:charSpace="32768"/>
        </w:sectPr>
        <w:pStyle w:val="TextBody"/>
        <w:bidi w:val="0"/>
        <w:spacing w:lineRule="auto" w:line="276" w:before="0" w:after="179"/>
        <w:jc w:val="both"/>
        <w:rPr/>
      </w:pPr>
      <w:r>
        <w:rPr/>
        <w:t xml:space="preserve">Используя файл </w:t>
      </w:r>
      <w:r>
        <w:rPr>
          <w:rStyle w:val="SourceText"/>
        </w:rPr>
        <w:t>.pot</w:t>
      </w:r>
      <w:r>
        <w:rPr/>
        <w:t xml:space="preserve"> в качестве шаблона, Gettext создает (обновляет) файлы </w:t>
      </w:r>
      <w:r>
        <w:rPr>
          <w:rStyle w:val="SourceText"/>
        </w:rPr>
        <w:t>.po</w:t>
      </w:r>
      <w:r>
        <w:rPr/>
        <w:t xml:space="preserve"> для всех требуемых языков. Переводчики работают именно с этими файлами. Далее Translation Toolkit берет (1) файл </w:t>
      </w:r>
      <w:r>
        <w:rPr>
          <w:rStyle w:val="SourceText"/>
        </w:rPr>
        <w:t>.po</w:t>
      </w:r>
      <w:r>
        <w:rPr/>
        <w:t xml:space="preserve"> с переводом, (2) оригинальный файл и создает переведенный файл.</w:t>
      </w:r>
    </w:p>
    <w:p>
      <w:pPr>
        <w:pStyle w:val="Heading1"/>
        <w:bidi w:val="0"/>
        <w:jc w:val="start"/>
        <w:rPr/>
      </w:pPr>
      <w:bookmarkStart w:id="2" w:name="_описание_процесса"/>
      <w:r>
        <w:rPr/>
        <w:t>Описание процесса</w:t>
      </w:r>
      <w:bookmarkEnd w:id="2"/>
    </w:p>
    <w:p>
      <w:pPr>
        <w:pStyle w:val="TextBody"/>
        <w:bidi w:val="0"/>
        <w:spacing w:lineRule="auto" w:line="276" w:before="0" w:after="179"/>
        <w:jc w:val="both"/>
        <w:rPr/>
      </w:pPr>
      <w:r>
        <w:rPr/>
        <w:t>Процесс перевода состоит из следующих шагов.</w:t>
      </w:r>
    </w:p>
    <w:p>
      <w:pPr>
        <w:pStyle w:val="List"/>
        <w:numPr>
          <w:ilvl w:val="0"/>
          <w:numId w:val="3"/>
        </w:numPr>
        <w:bidi w:val="0"/>
        <w:rPr/>
      </w:pPr>
      <w:r>
        <w:rPr/>
        <w:t>Исходные шаги для получения первого перевода на один или несколько языков.</w:t>
      </w:r>
    </w:p>
    <w:p>
      <w:pPr>
        <w:pStyle w:val="List"/>
        <w:numPr>
          <w:ilvl w:val="0"/>
          <w:numId w:val="3"/>
        </w:numPr>
        <w:bidi w:val="0"/>
        <w:rPr/>
      </w:pPr>
      <w:r>
        <w:rPr/>
        <w:t>Обновление перевода после модификации исходного текста.</w:t>
      </w:r>
    </w:p>
    <w:p>
      <w:pPr>
        <w:pStyle w:val="TextBody"/>
        <w:bidi w:val="0"/>
        <w:spacing w:lineRule="auto" w:line="276" w:before="0" w:after="179"/>
        <w:jc w:val="both"/>
        <w:rPr/>
      </w:pPr>
      <w:r>
        <w:rPr/>
        <w:t xml:space="preserve">На следующих диаграммах предполагается, что исходный файл —  </w:t>
      </w:r>
      <w:r>
        <w:rPr>
          <w:rStyle w:val="SourceText"/>
        </w:rPr>
        <w:t>i18n-adoc.adoc</w:t>
      </w:r>
      <w:r>
        <w:rPr/>
        <w:t xml:space="preserve">, а перевод должен быть помещен в файл </w:t>
      </w:r>
      <w:r>
        <w:rPr>
          <w:rStyle w:val="SourceText"/>
        </w:rPr>
        <w:t>i18n-adoc-ru.adoc</w:t>
      </w:r>
      <w:r>
        <w:rPr/>
        <w:t>.</w:t>
      </w:r>
    </w:p>
    <w:p>
      <w:pPr>
        <w:pStyle w:val="Heading2"/>
        <w:bidi w:val="0"/>
        <w:jc w:val="start"/>
        <w:rPr/>
      </w:pPr>
      <w:bookmarkStart w:id="3" w:name="_исходные_шаги"/>
      <w:r>
        <w:rPr/>
        <w:t>Исходные шаги</w:t>
      </w:r>
      <w:bookmarkEnd w:id="3"/>
    </w:p>
    <w:p>
      <w:pPr>
        <w:pStyle w:val="BlockImage"/>
        <w:keepNext w:val="true"/>
        <w:bidi w:val="0"/>
        <w:spacing w:before="0" w:after="0"/>
        <w:jc w:val="center"/>
        <w:rPr/>
      </w:pPr>
      <w:r>
        <w:rPr/>
        <w:drawing>
          <wp:inline distT="0" distB="0" distL="0" distR="0">
            <wp:extent cx="4675505" cy="303593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"/>
        <w:bidi w:val="0"/>
        <w:spacing w:before="170" w:after="179"/>
        <w:jc w:val="center"/>
        <w:rPr/>
      </w:pPr>
      <w:r>
        <w:rPr/>
        <w:t>Рисунок 1. Исходные шаги</w:t>
      </w:r>
    </w:p>
    <w:p>
      <w:pPr>
        <w:pStyle w:val="TextBody"/>
        <w:bidi w:val="0"/>
        <w:spacing w:lineRule="auto" w:line="276" w:before="0" w:after="179"/>
        <w:jc w:val="both"/>
        <w:rPr/>
      </w:pPr>
      <w:r>
        <w:rPr/>
        <w:t xml:space="preserve">Существует много редакторов для перевода файлов </w:t>
      </w:r>
      <w:r>
        <w:rPr>
          <w:rStyle w:val="SourceText"/>
        </w:rPr>
        <w:t>.po</w:t>
      </w:r>
      <w:r>
        <w:rPr/>
        <w:t xml:space="preserve">. На следующем снимке экрана показан интерфейс </w:t>
      </w:r>
      <w:hyperlink r:id="rId17">
        <w:r>
          <w:rPr>
            <w:rStyle w:val="InternetLink"/>
          </w:rPr>
          <w:t>Gtranslator</w:t>
        </w:r>
      </w:hyperlink>
      <w:r>
        <w:rPr/>
        <w:t xml:space="preserve">. Я предпочитаю </w:t>
      </w:r>
      <w:hyperlink r:id="rId18">
        <w:r>
          <w:rPr>
            <w:rStyle w:val="InternetLink"/>
          </w:rPr>
          <w:t>Poedit</w:t>
        </w:r>
      </w:hyperlink>
      <w:r>
        <w:rPr/>
        <w:t>, хотя то, как он заменяет гравис на апостроф при использовании машинного перевода, раздражает.</w:t>
      </w:r>
    </w:p>
    <w:p>
      <w:pPr>
        <w:pStyle w:val="BlockImage"/>
        <w:keepNext w:val="true"/>
        <w:bidi w:val="0"/>
        <w:spacing w:before="0" w:after="0"/>
        <w:jc w:val="center"/>
        <w:rPr/>
      </w:pPr>
      <w:r>
        <w:rPr/>
        <w:drawing>
          <wp:inline distT="0" distB="0" distL="0" distR="0">
            <wp:extent cx="6120130" cy="398526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"/>
        <w:bidi w:val="0"/>
        <w:spacing w:before="170" w:after="179"/>
        <w:jc w:val="center"/>
        <w:rPr/>
      </w:pPr>
      <w:r>
        <w:rPr/>
        <w:t>Рисунок 2. Перевод с использованием Gtranslator</w:t>
      </w:r>
    </w:p>
    <w:p>
      <w:pPr>
        <w:pStyle w:val="Heading2"/>
        <w:bidi w:val="0"/>
        <w:jc w:val="start"/>
        <w:rPr/>
      </w:pPr>
      <w:bookmarkStart w:id="4" w:name="_обновление_перевода"/>
      <w:r>
        <w:rPr/>
        <w:t>Обновление перевода</w:t>
      </w:r>
      <w:bookmarkEnd w:id="4"/>
    </w:p>
    <w:p>
      <w:pPr>
        <w:pStyle w:val="BlockImage"/>
        <w:keepNext w:val="true"/>
        <w:bidi w:val="0"/>
        <w:spacing w:before="0" w:after="0"/>
        <w:jc w:val="center"/>
        <w:rPr/>
      </w:pPr>
      <w:r>
        <w:rPr/>
        <w:drawing>
          <wp:inline distT="0" distB="0" distL="0" distR="0">
            <wp:extent cx="4419600" cy="316674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21"/>
          <w:type w:val="nextPage"/>
          <w:pgSz w:w="11906" w:h="16838"/>
          <w:pgMar w:left="1134" w:right="1134" w:header="0" w:top="1134" w:footer="1134" w:bottom="1883" w:gutter="0"/>
          <w:pgNumType w:fmt="decimal"/>
          <w:formProt w:val="false"/>
          <w:textDirection w:val="lrTb"/>
          <w:docGrid w:type="default" w:linePitch="600" w:charSpace="32768"/>
        </w:sectPr>
        <w:pStyle w:val="Figure"/>
        <w:bidi w:val="0"/>
        <w:spacing w:before="170" w:after="179"/>
        <w:jc w:val="center"/>
        <w:rPr/>
      </w:pPr>
      <w:r>
        <w:rPr/>
        <w:t>Рисунок 3. Обновление перевода</w:t>
      </w:r>
    </w:p>
    <w:p>
      <w:pPr>
        <w:pStyle w:val="Heading1"/>
        <w:bidi w:val="0"/>
        <w:jc w:val="start"/>
        <w:rPr/>
      </w:pPr>
      <w:bookmarkStart w:id="5" w:name="_несколько_замечаний"/>
      <w:r>
        <w:rPr/>
        <w:t>Несколько замечаний</w:t>
      </w:r>
      <w:bookmarkEnd w:id="5"/>
    </w:p>
    <w:p>
      <w:pPr>
        <w:pStyle w:val="List"/>
        <w:numPr>
          <w:ilvl w:val="0"/>
          <w:numId w:val="2"/>
        </w:numPr>
        <w:bidi w:val="0"/>
        <w:rPr/>
      </w:pPr>
      <w:r>
        <w:rPr/>
        <w:t>В нашей документации мы часто повторно используем константы интернационализации, чтобы имена элементов интерфейса в документации совпадали с именами этих же элементов в приложении. Мы генерируем эти константы автоматически в следующем формате:</w:t>
      </w:r>
    </w:p>
    <w:p>
      <w:pPr>
        <w:pStyle w:val="Listing"/>
        <w:numPr>
          <w:ilvl w:val="0"/>
          <w:numId w:val="0"/>
        </w:numPr>
        <w:shd w:fill="F7F7F7" w:val="clear"/>
        <w:bidi w:val="0"/>
        <w:ind w:start="754" w:hanging="0"/>
        <w:jc w:val="start"/>
        <w:rPr/>
      </w:pPr>
      <w:r>
        <w:rPr/>
        <w:t>:main-menu-documents: Документы</w:t>
        <w:br/>
        <w:t>:main-menu-documents-my: Мои</w:t>
        <w:br/>
        <w:t>...</w:t>
      </w:r>
    </w:p>
    <w:p>
      <w:pPr>
        <w:pStyle w:val="List"/>
        <w:numPr>
          <w:ilvl w:val="0"/>
          <w:numId w:val="0"/>
        </w:numPr>
        <w:bidi w:val="0"/>
        <w:ind w:start="754" w:hanging="0"/>
        <w:rPr/>
      </w:pPr>
      <w:r>
        <w:rPr/>
        <w:t>Мы включаем этот файл в документ Asciidoc (</w:t>
      </w:r>
      <w:r>
        <w:rPr>
          <w:rStyle w:val="SourceText"/>
        </w:rPr>
        <w:t>include i17n-{lang}.adoc[]</w:t>
      </w:r>
      <w:r>
        <w:rPr/>
        <w:t xml:space="preserve">). Теперь нет необходимости использовать атрибуты. Просто переведите </w:t>
      </w:r>
      <w:r>
        <w:rPr>
          <w:rStyle w:val="SourceText"/>
        </w:rPr>
        <w:t>include i17n-en.adoc[]</w:t>
      </w:r>
      <w:r>
        <w:rPr/>
        <w:t xml:space="preserve"> в </w:t>
      </w:r>
      <w:r>
        <w:rPr>
          <w:rStyle w:val="SourceText"/>
        </w:rPr>
        <w:t>include i17n-ru.adoc[]</w:t>
      </w:r>
      <w:r>
        <w:rPr/>
        <w:t>.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 xml:space="preserve">Когда </w:t>
      </w:r>
      <w:r>
        <w:rPr>
          <w:rStyle w:val="SourceText"/>
        </w:rPr>
        <w:t>gettext</w:t>
      </w:r>
      <w:r>
        <w:rPr/>
        <w:t xml:space="preserve"> обновляет файлы </w:t>
      </w:r>
      <w:r>
        <w:rPr>
          <w:rStyle w:val="SourceText"/>
        </w:rPr>
        <w:t>.po</w:t>
      </w:r>
      <w:r>
        <w:rPr/>
        <w:t>, он использует нечеткий поиск. Если вы немного измените исходный текст, перевод не пропадет. Он будет просто помечен как возможно неверный (flaky).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Актуальность файла с переводом проверить очень легко при помощи утилиты Gettext  — </w:t>
      </w:r>
      <w:r>
        <w:rPr>
          <w:rStyle w:val="SourceText"/>
        </w:rPr>
        <w:t>msgfmt</w:t>
      </w:r>
      <w:r>
        <w:rPr/>
        <w:t>.</w:t>
      </w:r>
    </w:p>
    <w:p>
      <w:pPr>
        <w:pStyle w:val="Listing"/>
        <w:numPr>
          <w:ilvl w:val="0"/>
          <w:numId w:val="0"/>
        </w:numPr>
        <w:shd w:fill="F7F7F7" w:val="clear"/>
        <w:bidi w:val="0"/>
        <w:ind w:start="754" w:hanging="0"/>
        <w:jc w:val="start"/>
        <w:rPr/>
      </w:pPr>
      <w:r>
        <w:rPr/>
        <w:t>msgfmt --statistics i18n-adoc-ru.po</w:t>
      </w:r>
    </w:p>
    <w:p>
      <w:pPr>
        <w:sectPr>
          <w:footerReference w:type="default" r:id="rId22"/>
          <w:type w:val="nextPage"/>
          <w:pgSz w:w="11906" w:h="16838"/>
          <w:pgMar w:left="1134" w:right="1134" w:header="0" w:top="1134" w:footer="1134" w:bottom="1883" w:gutter="0"/>
          <w:pgNumType w:fmt="decimal"/>
          <w:formProt w:val="false"/>
          <w:textDirection w:val="lrTb"/>
          <w:docGrid w:type="default" w:linePitch="600" w:charSpace="32768"/>
        </w:sectPr>
        <w:pStyle w:val="List"/>
        <w:numPr>
          <w:ilvl w:val="0"/>
          <w:numId w:val="0"/>
        </w:numPr>
        <w:bidi w:val="0"/>
        <w:ind w:start="754" w:hanging="0"/>
        <w:rPr/>
      </w:pPr>
      <w:r>
        <w:rPr/>
        <w:t>Команда показывает количество переведенных строк, количество строк, которые нуждаются в проверке, и количество непереведенных строк.</w:t>
      </w:r>
    </w:p>
    <w:p>
      <w:pPr>
        <w:pStyle w:val="Heading1"/>
        <w:bidi w:val="0"/>
        <w:jc w:val="start"/>
        <w:rPr/>
      </w:pPr>
      <w:bookmarkStart w:id="6" w:name="_заключение"/>
      <w:r>
        <w:rPr/>
        <w:t>Заключение</w:t>
      </w:r>
      <w:bookmarkEnd w:id="6"/>
    </w:p>
    <w:p>
      <w:pPr>
        <w:pStyle w:val="List"/>
        <w:numPr>
          <w:ilvl w:val="0"/>
          <w:numId w:val="4"/>
        </w:numPr>
        <w:bidi w:val="0"/>
        <w:rPr/>
      </w:pPr>
      <w:r>
        <w:rPr/>
        <w:t>Translation Toolkit и Gettext обеспечивают эффективную интернационализацию документации.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 xml:space="preserve">Простая текстовая разметка — не такая уж и простая. Использование всех возможностей простой текстовой разметки выставляет определенный уровень требований к специалисту по документации. Попробуйте представить переводчику файлы в формате </w:t>
      </w:r>
      <w:r>
        <w:rPr>
          <w:rStyle w:val="SourceText"/>
        </w:rPr>
        <w:t>.po</w:t>
      </w:r>
      <w:r>
        <w:rPr/>
        <w:t>. Многие ли из них будут готовы сделать перевод? Или попросят предоставить текст в более традиционном формате, например, в Microsoft Word.</w:t>
      </w:r>
    </w:p>
    <w:p>
      <w:pPr>
        <w:pStyle w:val="List"/>
        <w:numPr>
          <w:ilvl w:val="0"/>
          <w:numId w:val="4"/>
        </w:numPr>
        <w:bidi w:val="0"/>
        <w:spacing w:before="0" w:after="179"/>
        <w:rPr/>
      </w:pPr>
      <w:r>
        <w:rPr/>
        <w:t>Контроль качества: 58 переведенных сообщений, 0 ошибок, 0 предупреждений и 0 предложений в 1 файле.</w:t>
      </w:r>
    </w:p>
    <w:sectPr>
      <w:footerReference w:type="default" r:id="rId23"/>
      <w:type w:val="nextPage"/>
      <w:pgSz w:w="11906" w:h="16838"/>
      <w:pgMar w:left="1134" w:right="1134" w:header="0" w:top="1134" w:footer="1134" w:bottom="188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28" w:type="dxa"/>
      <w:tblCellMar>
        <w:top w:w="28" w:type="dxa"/>
        <w:start w:w="28" w:type="dxa"/>
        <w:bottom w:w="28" w:type="dxa"/>
        <w:end w:w="28" w:type="dxa"/>
      </w:tblCellMar>
    </w:tblPr>
    <w:tblGrid>
      <w:gridCol w:w="8961"/>
      <w:gridCol w:w="621"/>
    </w:tblGrid>
    <w:tr>
      <w:trPr/>
      <w:tc>
        <w:tcPr>
          <w:tcW w:w="8961" w:type="dxa"/>
          <w:tcBorders>
            <w:top w:val="single" w:sz="4" w:space="0" w:color="000000"/>
          </w:tcBorders>
        </w:tcPr>
        <w:p>
          <w:pPr>
            <w:pStyle w:val="TableContents"/>
            <w:bidi w:val="0"/>
            <w:spacing w:before="57" w:after="57"/>
            <w:jc w:val="start"/>
            <w:rPr/>
          </w:pPr>
          <w:r>
            <w:rPr/>
            <w:fldChar w:fldCharType="begin"/>
          </w:r>
          <w:r>
            <w:rPr/>
            <w:instrText> STYLEREF  1 \* MERGEFORMAT </w:instrText>
          </w:r>
          <w:r>
            <w:rPr/>
            <w:fldChar w:fldCharType="separate"/>
          </w:r>
          <w:r>
            <w:rPr/>
            <w:t>Заключение</w:t>
          </w:r>
          <w:r>
            <w:rPr/>
            <w:fldChar w:fldCharType="end"/>
          </w:r>
          <w:r>
            <w:rPr/>
            <w:t xml:space="preserve">   </w:t>
          </w:r>
        </w:p>
      </w:tc>
      <w:tc>
        <w:tcPr>
          <w:tcW w:w="621" w:type="dxa"/>
          <w:tcBorders>
            <w:top w:val="single" w:sz="4" w:space="0" w:color="000000"/>
          </w:tcBorders>
        </w:tcPr>
        <w:p>
          <w:pPr>
            <w:pStyle w:val="TableContents"/>
            <w:bidi w:val="0"/>
            <w:spacing w:before="57" w:after="57"/>
            <w:jc w:val="end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28" w:type="dxa"/>
      <w:tblCellMar>
        <w:top w:w="28" w:type="dxa"/>
        <w:start w:w="28" w:type="dxa"/>
        <w:bottom w:w="28" w:type="dxa"/>
        <w:end w:w="28" w:type="dxa"/>
      </w:tblCellMar>
    </w:tblPr>
    <w:tblGrid>
      <w:gridCol w:w="8961"/>
      <w:gridCol w:w="621"/>
    </w:tblGrid>
    <w:tr>
      <w:trPr/>
      <w:tc>
        <w:tcPr>
          <w:tcW w:w="8961" w:type="dxa"/>
          <w:tcBorders>
            <w:top w:val="single" w:sz="4" w:space="0" w:color="000000"/>
          </w:tcBorders>
        </w:tcPr>
        <w:p>
          <w:pPr>
            <w:pStyle w:val="TableContents"/>
            <w:bidi w:val="0"/>
            <w:spacing w:before="57" w:after="57"/>
            <w:jc w:val="start"/>
            <w:rPr/>
          </w:pPr>
          <w:r>
            <w:rPr/>
            <w:fldChar w:fldCharType="begin"/>
          </w:r>
          <w:r>
            <w:rPr/>
            <w:instrText> STYLEREF  1 \* MERGEFORMAT </w:instrText>
          </w:r>
          <w:r>
            <w:rPr/>
            <w:fldChar w:fldCharType="separate"/>
          </w:r>
          <w:r>
            <w:rPr/>
            <w:t>Заключение</w:t>
          </w:r>
          <w:r>
            <w:rPr/>
            <w:fldChar w:fldCharType="end"/>
          </w:r>
          <w:r>
            <w:rPr/>
            <w:t xml:space="preserve">   </w:t>
          </w:r>
        </w:p>
      </w:tc>
      <w:tc>
        <w:tcPr>
          <w:tcW w:w="621" w:type="dxa"/>
          <w:tcBorders>
            <w:top w:val="single" w:sz="4" w:space="0" w:color="000000"/>
          </w:tcBorders>
        </w:tcPr>
        <w:p>
          <w:pPr>
            <w:pStyle w:val="TableContents"/>
            <w:bidi w:val="0"/>
            <w:spacing w:before="57" w:after="57"/>
            <w:jc w:val="end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28" w:type="dxa"/>
      <w:tblCellMar>
        <w:top w:w="28" w:type="dxa"/>
        <w:start w:w="28" w:type="dxa"/>
        <w:bottom w:w="28" w:type="dxa"/>
        <w:end w:w="28" w:type="dxa"/>
      </w:tblCellMar>
    </w:tblPr>
    <w:tblGrid>
      <w:gridCol w:w="8961"/>
      <w:gridCol w:w="621"/>
    </w:tblGrid>
    <w:tr>
      <w:trPr/>
      <w:tc>
        <w:tcPr>
          <w:tcW w:w="8961" w:type="dxa"/>
          <w:tcBorders>
            <w:top w:val="single" w:sz="4" w:space="0" w:color="000000"/>
          </w:tcBorders>
        </w:tcPr>
        <w:p>
          <w:pPr>
            <w:pStyle w:val="TableContents"/>
            <w:bidi w:val="0"/>
            <w:spacing w:before="57" w:after="57"/>
            <w:jc w:val="start"/>
            <w:rPr/>
          </w:pPr>
          <w:r>
            <w:rPr/>
            <w:fldChar w:fldCharType="begin"/>
          </w:r>
          <w:r>
            <w:rPr/>
            <w:instrText> STYLEREF  1 \* MERGEFORMAT </w:instrText>
          </w:r>
          <w:r>
            <w:rPr/>
            <w:fldChar w:fldCharType="separate"/>
          </w:r>
          <w:r>
            <w:rPr/>
            <w:t>Заключение</w:t>
          </w:r>
          <w:r>
            <w:rPr/>
            <w:fldChar w:fldCharType="end"/>
          </w:r>
          <w:r>
            <w:rPr/>
            <w:t xml:space="preserve">   </w:t>
          </w:r>
        </w:p>
      </w:tc>
      <w:tc>
        <w:tcPr>
          <w:tcW w:w="621" w:type="dxa"/>
          <w:tcBorders>
            <w:top w:val="single" w:sz="4" w:space="0" w:color="000000"/>
          </w:tcBorders>
        </w:tcPr>
        <w:p>
          <w:pPr>
            <w:pStyle w:val="TableContents"/>
            <w:bidi w:val="0"/>
            <w:spacing w:before="57" w:after="57"/>
            <w:jc w:val="end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28" w:type="dxa"/>
      <w:tblCellMar>
        <w:top w:w="28" w:type="dxa"/>
        <w:start w:w="28" w:type="dxa"/>
        <w:bottom w:w="28" w:type="dxa"/>
        <w:end w:w="28" w:type="dxa"/>
      </w:tblCellMar>
    </w:tblPr>
    <w:tblGrid>
      <w:gridCol w:w="8961"/>
      <w:gridCol w:w="621"/>
    </w:tblGrid>
    <w:tr>
      <w:trPr/>
      <w:tc>
        <w:tcPr>
          <w:tcW w:w="8961" w:type="dxa"/>
          <w:tcBorders>
            <w:top w:val="single" w:sz="4" w:space="0" w:color="000000"/>
          </w:tcBorders>
        </w:tcPr>
        <w:p>
          <w:pPr>
            <w:pStyle w:val="TableContents"/>
            <w:bidi w:val="0"/>
            <w:spacing w:before="57" w:after="57"/>
            <w:jc w:val="start"/>
            <w:rPr/>
          </w:pPr>
          <w:r>
            <w:rPr/>
            <w:fldChar w:fldCharType="begin"/>
          </w:r>
          <w:r>
            <w:rPr/>
            <w:instrText> STYLEREF  1 \* MERGEFORMAT </w:instrText>
          </w:r>
          <w:r>
            <w:rPr/>
            <w:fldChar w:fldCharType="separate"/>
          </w:r>
          <w:r>
            <w:rPr/>
            <w:t>Заключение</w:t>
          </w:r>
          <w:r>
            <w:rPr/>
            <w:fldChar w:fldCharType="end"/>
          </w:r>
          <w:r>
            <w:rPr/>
            <w:t xml:space="preserve">   </w:t>
          </w:r>
        </w:p>
      </w:tc>
      <w:tc>
        <w:tcPr>
          <w:tcW w:w="621" w:type="dxa"/>
          <w:tcBorders>
            <w:top w:val="single" w:sz="4" w:space="0" w:color="000000"/>
          </w:tcBorders>
        </w:tcPr>
        <w:p>
          <w:pPr>
            <w:pStyle w:val="TableContents"/>
            <w:bidi w:val="0"/>
            <w:spacing w:before="57" w:after="57"/>
            <w:jc w:val="end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28" w:type="dxa"/>
      <w:tblCellMar>
        <w:top w:w="28" w:type="dxa"/>
        <w:start w:w="28" w:type="dxa"/>
        <w:bottom w:w="28" w:type="dxa"/>
        <w:end w:w="28" w:type="dxa"/>
      </w:tblCellMar>
    </w:tblPr>
    <w:tblGrid>
      <w:gridCol w:w="8961"/>
      <w:gridCol w:w="621"/>
    </w:tblGrid>
    <w:tr>
      <w:trPr/>
      <w:tc>
        <w:tcPr>
          <w:tcW w:w="8961" w:type="dxa"/>
          <w:tcBorders>
            <w:top w:val="single" w:sz="4" w:space="0" w:color="000000"/>
          </w:tcBorders>
        </w:tcPr>
        <w:p>
          <w:pPr>
            <w:pStyle w:val="TableContents"/>
            <w:bidi w:val="0"/>
            <w:spacing w:before="57" w:after="57"/>
            <w:jc w:val="start"/>
            <w:rPr/>
          </w:pPr>
          <w:r>
            <w:rPr/>
            <w:fldChar w:fldCharType="begin"/>
          </w:r>
          <w:r>
            <w:rPr/>
            <w:instrText> STYLEREF  1 \* MERGEFORMAT </w:instrText>
          </w:r>
          <w:r>
            <w:rPr/>
            <w:fldChar w:fldCharType="separate"/>
          </w:r>
          <w:r>
            <w:rPr/>
            <w:t>Заключение</w:t>
          </w:r>
          <w:r>
            <w:rPr/>
            <w:fldChar w:fldCharType="end"/>
          </w:r>
          <w:r>
            <w:rPr/>
            <w:t xml:space="preserve">   </w:t>
          </w:r>
        </w:p>
      </w:tc>
      <w:tc>
        <w:tcPr>
          <w:tcW w:w="621" w:type="dxa"/>
          <w:tcBorders>
            <w:top w:val="single" w:sz="4" w:space="0" w:color="000000"/>
          </w:tcBorders>
        </w:tcPr>
        <w:p>
          <w:pPr>
            <w:pStyle w:val="TableContents"/>
            <w:bidi w:val="0"/>
            <w:spacing w:before="57" w:after="57"/>
            <w:jc w:val="end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28" w:type="dxa"/>
      <w:tblCellMar>
        <w:top w:w="28" w:type="dxa"/>
        <w:start w:w="28" w:type="dxa"/>
        <w:bottom w:w="28" w:type="dxa"/>
        <w:end w:w="28" w:type="dxa"/>
      </w:tblCellMar>
    </w:tblPr>
    <w:tblGrid>
      <w:gridCol w:w="8961"/>
      <w:gridCol w:w="621"/>
    </w:tblGrid>
    <w:tr>
      <w:trPr/>
      <w:tc>
        <w:tcPr>
          <w:tcW w:w="8961" w:type="dxa"/>
          <w:tcBorders>
            <w:top w:val="single" w:sz="4" w:space="0" w:color="000000"/>
          </w:tcBorders>
        </w:tcPr>
        <w:p>
          <w:pPr>
            <w:pStyle w:val="TableContents"/>
            <w:bidi w:val="0"/>
            <w:spacing w:before="57" w:after="57"/>
            <w:jc w:val="start"/>
            <w:rPr/>
          </w:pPr>
          <w:r>
            <w:rPr/>
            <w:fldChar w:fldCharType="begin"/>
          </w:r>
          <w:r>
            <w:rPr/>
            <w:instrText> STYLEREF  1 \* MERGEFORMAT </w:instrText>
          </w:r>
          <w:r>
            <w:rPr/>
            <w:fldChar w:fldCharType="separate"/>
          </w:r>
          <w:r>
            <w:rPr/>
            <w:t>Заключение</w:t>
          </w:r>
          <w:r>
            <w:rPr/>
            <w:fldChar w:fldCharType="end"/>
          </w:r>
          <w:r>
            <w:rPr/>
            <w:t xml:space="preserve">   </w:t>
          </w:r>
        </w:p>
      </w:tc>
      <w:tc>
        <w:tcPr>
          <w:tcW w:w="621" w:type="dxa"/>
          <w:tcBorders>
            <w:top w:val="single" w:sz="4" w:space="0" w:color="000000"/>
          </w:tcBorders>
        </w:tcPr>
        <w:p>
          <w:pPr>
            <w:pStyle w:val="TableContents"/>
            <w:bidi w:val="0"/>
            <w:spacing w:before="57" w:after="57"/>
            <w:jc w:val="end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28" w:type="dxa"/>
      <w:tblCellMar>
        <w:top w:w="28" w:type="dxa"/>
        <w:start w:w="28" w:type="dxa"/>
        <w:bottom w:w="28" w:type="dxa"/>
        <w:end w:w="28" w:type="dxa"/>
      </w:tblCellMar>
    </w:tblPr>
    <w:tblGrid>
      <w:gridCol w:w="8961"/>
      <w:gridCol w:w="621"/>
    </w:tblGrid>
    <w:tr>
      <w:trPr/>
      <w:tc>
        <w:tcPr>
          <w:tcW w:w="8961" w:type="dxa"/>
          <w:tcBorders>
            <w:top w:val="single" w:sz="4" w:space="0" w:color="000000"/>
          </w:tcBorders>
        </w:tcPr>
        <w:p>
          <w:pPr>
            <w:pStyle w:val="TableContents"/>
            <w:bidi w:val="0"/>
            <w:spacing w:before="57" w:after="57"/>
            <w:jc w:val="start"/>
            <w:rPr/>
          </w:pPr>
          <w:r>
            <w:rPr/>
            <w:fldChar w:fldCharType="begin"/>
          </w:r>
          <w:r>
            <w:rPr/>
            <w:instrText> STYLEREF  1 \* MERGEFORMAT </w:instrText>
          </w:r>
          <w:r>
            <w:rPr/>
            <w:fldChar w:fldCharType="separate"/>
          </w:r>
          <w:r>
            <w:rPr/>
            <w:t>Заключение</w:t>
          </w:r>
          <w:r>
            <w:rPr/>
            <w:fldChar w:fldCharType="end"/>
          </w:r>
          <w:r>
            <w:rPr/>
            <w:t xml:space="preserve">   </w:t>
          </w:r>
        </w:p>
      </w:tc>
      <w:tc>
        <w:tcPr>
          <w:tcW w:w="621" w:type="dxa"/>
          <w:tcBorders>
            <w:top w:val="single" w:sz="4" w:space="0" w:color="000000"/>
          </w:tcBorders>
        </w:tcPr>
        <w:p>
          <w:pPr>
            <w:pStyle w:val="TableContents"/>
            <w:bidi w:val="0"/>
            <w:spacing w:before="57" w:after="57"/>
            <w:jc w:val="end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28" w:type="dxa"/>
      <w:tblCellMar>
        <w:top w:w="28" w:type="dxa"/>
        <w:start w:w="28" w:type="dxa"/>
        <w:bottom w:w="28" w:type="dxa"/>
        <w:end w:w="28" w:type="dxa"/>
      </w:tblCellMar>
    </w:tblPr>
    <w:tblGrid>
      <w:gridCol w:w="8961"/>
      <w:gridCol w:w="621"/>
    </w:tblGrid>
    <w:tr>
      <w:trPr/>
      <w:tc>
        <w:tcPr>
          <w:tcW w:w="8961" w:type="dxa"/>
          <w:tcBorders>
            <w:top w:val="single" w:sz="4" w:space="0" w:color="000000"/>
          </w:tcBorders>
        </w:tcPr>
        <w:p>
          <w:pPr>
            <w:pStyle w:val="TableContents"/>
            <w:bidi w:val="0"/>
            <w:spacing w:before="57" w:after="57"/>
            <w:jc w:val="start"/>
            <w:rPr/>
          </w:pPr>
          <w:r>
            <w:rPr/>
            <w:fldChar w:fldCharType="begin"/>
          </w:r>
          <w:r>
            <w:rPr/>
            <w:instrText> STYLEREF  1 \* MERGEFORMAT </w:instrText>
          </w:r>
          <w:r>
            <w:rPr/>
            <w:fldChar w:fldCharType="separate"/>
          </w:r>
          <w:r>
            <w:rPr/>
            <w:t>Заключение</w:t>
          </w:r>
          <w:r>
            <w:rPr/>
            <w:fldChar w:fldCharType="end"/>
          </w:r>
          <w:r>
            <w:rPr/>
            <w:t xml:space="preserve">   </w:t>
          </w:r>
        </w:p>
      </w:tc>
      <w:tc>
        <w:tcPr>
          <w:tcW w:w="621" w:type="dxa"/>
          <w:tcBorders>
            <w:top w:val="single" w:sz="4" w:space="0" w:color="000000"/>
          </w:tcBorders>
        </w:tcPr>
        <w:p>
          <w:pPr>
            <w:pStyle w:val="TableContents"/>
            <w:bidi w:val="0"/>
            <w:spacing w:before="57" w:after="57"/>
            <w:jc w:val="end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Liberation Sans" w:hAnsi="Liberation Sans" w:cs="Liberation San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Liberation Sans" w:hAnsi="Liberation Sans" w:cs="Liberation San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Liberation Sans" w:hAnsi="Liberation Sans" w:cs="Liberation Sans" w:hint="default"/>
      </w:rPr>
    </w:lvl>
    <w:lvl w:ilvl="3">
      <w:start w:val="1"/>
      <w:numFmt w:val="bullet"/>
      <w:lvlText w:val="▫"/>
      <w:lvlJc w:val="start"/>
      <w:pPr>
        <w:tabs>
          <w:tab w:val="num" w:pos="1800"/>
        </w:tabs>
        <w:ind w:start="1800" w:hanging="360"/>
      </w:pPr>
      <w:rPr>
        <w:rFonts w:ascii="Liberation Sans" w:hAnsi="Liberation Sans" w:cs="Liberation Sans" w:hint="default"/>
      </w:rPr>
    </w:lvl>
    <w:lvl w:ilvl="4">
      <w:start w:val="1"/>
      <w:numFmt w:val="bullet"/>
      <w:lvlText w:val="•"/>
      <w:lvlJc w:val="start"/>
      <w:pPr>
        <w:tabs>
          <w:tab w:val="num" w:pos="2160"/>
        </w:tabs>
        <w:ind w:start="2160" w:hanging="360"/>
      </w:pPr>
      <w:rPr>
        <w:rFonts w:ascii="Liberation Sans" w:hAnsi="Liberation Sans" w:cs="Liberation Sans" w:hint="default"/>
      </w:rPr>
    </w:lvl>
    <w:lvl w:ilvl="5">
      <w:start w:val="1"/>
      <w:numFmt w:val="bullet"/>
      <w:lvlText w:val="•"/>
      <w:lvlJc w:val="start"/>
      <w:pPr>
        <w:tabs>
          <w:tab w:val="num" w:pos="2520"/>
        </w:tabs>
        <w:ind w:start="2520" w:hanging="360"/>
      </w:pPr>
      <w:rPr>
        <w:rFonts w:ascii="Liberation Sans" w:hAnsi="Liberation Sans" w:cs="Liberation Sans" w:hint="default"/>
      </w:rPr>
    </w:lvl>
    <w:lvl w:ilvl="6">
      <w:start w:val="1"/>
      <w:numFmt w:val="bullet"/>
      <w:lvlText w:val="•"/>
      <w:lvlJc w:val="start"/>
      <w:pPr>
        <w:tabs>
          <w:tab w:val="num" w:pos="2880"/>
        </w:tabs>
        <w:ind w:start="2880" w:hanging="360"/>
      </w:pPr>
      <w:rPr>
        <w:rFonts w:ascii="Liberation Sans" w:hAnsi="Liberation Sans" w:cs="Liberation Sans" w:hint="default"/>
      </w:rPr>
    </w:lvl>
    <w:lvl w:ilvl="7">
      <w:start w:val="1"/>
      <w:numFmt w:val="bullet"/>
      <w:lvlText w:val="•"/>
      <w:lvlJc w:val="start"/>
      <w:pPr>
        <w:tabs>
          <w:tab w:val="num" w:pos="3240"/>
        </w:tabs>
        <w:ind w:start="3240" w:hanging="360"/>
      </w:pPr>
      <w:rPr>
        <w:rFonts w:ascii="Liberation Sans" w:hAnsi="Liberation Sans" w:cs="Liberation Sans" w:hint="default"/>
      </w:rPr>
    </w:lvl>
    <w:lvl w:ilvl="8">
      <w:start w:val="1"/>
      <w:numFmt w:val="bullet"/>
      <w:lvlText w:val="•"/>
      <w:lvlJc w:val="start"/>
      <w:pPr>
        <w:tabs>
          <w:tab w:val="num" w:pos="3600"/>
        </w:tabs>
        <w:ind w:start="3600" w:hanging="360"/>
      </w:pPr>
      <w:rPr>
        <w:rFonts w:ascii="Liberation Sans" w:hAnsi="Liberation Sans" w:cs="Liberation Sans" w:hint="default"/>
      </w:rPr>
    </w:lvl>
  </w:abstractNum>
  <w:abstractNum w:abstractNumId="4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Liberation Sans" w:hAnsi="Liberation Sans" w:cs="Liberation San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Liberation Sans" w:hAnsi="Liberation Sans" w:cs="Liberation San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Liberation Sans" w:hAnsi="Liberation Sans" w:cs="Liberation Sans" w:hint="default"/>
      </w:rPr>
    </w:lvl>
    <w:lvl w:ilvl="3">
      <w:start w:val="1"/>
      <w:numFmt w:val="bullet"/>
      <w:lvlText w:val="▫"/>
      <w:lvlJc w:val="start"/>
      <w:pPr>
        <w:tabs>
          <w:tab w:val="num" w:pos="1800"/>
        </w:tabs>
        <w:ind w:start="1800" w:hanging="360"/>
      </w:pPr>
      <w:rPr>
        <w:rFonts w:ascii="Liberation Sans" w:hAnsi="Liberation Sans" w:cs="Liberation Sans" w:hint="default"/>
      </w:rPr>
    </w:lvl>
    <w:lvl w:ilvl="4">
      <w:start w:val="1"/>
      <w:numFmt w:val="bullet"/>
      <w:lvlText w:val="•"/>
      <w:lvlJc w:val="start"/>
      <w:pPr>
        <w:tabs>
          <w:tab w:val="num" w:pos="2160"/>
        </w:tabs>
        <w:ind w:start="2160" w:hanging="360"/>
      </w:pPr>
      <w:rPr>
        <w:rFonts w:ascii="Liberation Sans" w:hAnsi="Liberation Sans" w:cs="Liberation Sans" w:hint="default"/>
      </w:rPr>
    </w:lvl>
    <w:lvl w:ilvl="5">
      <w:start w:val="1"/>
      <w:numFmt w:val="bullet"/>
      <w:lvlText w:val="•"/>
      <w:lvlJc w:val="start"/>
      <w:pPr>
        <w:tabs>
          <w:tab w:val="num" w:pos="2520"/>
        </w:tabs>
        <w:ind w:start="2520" w:hanging="360"/>
      </w:pPr>
      <w:rPr>
        <w:rFonts w:ascii="Liberation Sans" w:hAnsi="Liberation Sans" w:cs="Liberation Sans" w:hint="default"/>
      </w:rPr>
    </w:lvl>
    <w:lvl w:ilvl="6">
      <w:start w:val="1"/>
      <w:numFmt w:val="bullet"/>
      <w:lvlText w:val="•"/>
      <w:lvlJc w:val="start"/>
      <w:pPr>
        <w:tabs>
          <w:tab w:val="num" w:pos="2880"/>
        </w:tabs>
        <w:ind w:start="2880" w:hanging="360"/>
      </w:pPr>
      <w:rPr>
        <w:rFonts w:ascii="Liberation Sans" w:hAnsi="Liberation Sans" w:cs="Liberation Sans" w:hint="default"/>
      </w:rPr>
    </w:lvl>
    <w:lvl w:ilvl="7">
      <w:start w:val="1"/>
      <w:numFmt w:val="bullet"/>
      <w:lvlText w:val="•"/>
      <w:lvlJc w:val="start"/>
      <w:pPr>
        <w:tabs>
          <w:tab w:val="num" w:pos="3240"/>
        </w:tabs>
        <w:ind w:start="3240" w:hanging="360"/>
      </w:pPr>
      <w:rPr>
        <w:rFonts w:ascii="Liberation Sans" w:hAnsi="Liberation Sans" w:cs="Liberation Sans" w:hint="default"/>
      </w:rPr>
    </w:lvl>
    <w:lvl w:ilvl="8">
      <w:start w:val="1"/>
      <w:numFmt w:val="bullet"/>
      <w:lvlText w:val="•"/>
      <w:lvlJc w:val="start"/>
      <w:pPr>
        <w:tabs>
          <w:tab w:val="num" w:pos="3600"/>
        </w:tabs>
        <w:ind w:start="3600" w:hanging="360"/>
      </w:pPr>
      <w:rPr>
        <w:rFonts w:ascii="Liberation Sans" w:hAnsi="Liberation Sans" w:cs="Liberation San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pageBreakBefore w:val="false"/>
      <w:widowControl w:val="false"/>
      <w:numPr>
        <w:ilvl w:val="0"/>
        <w:numId w:val="1"/>
      </w:numPr>
      <w:tabs>
        <w:tab w:val="clear" w:pos="709"/>
      </w:tabs>
      <w:spacing w:before="0" w:after="179"/>
      <w:outlineLvl w:val="0"/>
    </w:pPr>
    <w:rPr>
      <w:rFonts w:ascii="Liberation Serif" w:hAnsi="Liberation Serif"/>
      <w:b/>
      <w:bCs/>
      <w:color w:val="000000"/>
      <w:sz w:val="4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62" w:after="120"/>
      <w:outlineLvl w:val="1"/>
    </w:pPr>
    <w:rPr>
      <w:rFonts w:ascii="Liberation Serif" w:hAnsi="Liberation Serif"/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highlight w:val="yellow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tabs>
        <w:tab w:val="clear" w:pos="709"/>
      </w:tabs>
      <w:spacing w:lineRule="auto" w:line="276" w:before="0" w:after="179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pageBreakBefore w:val="false"/>
      <w:suppressLineNumbers/>
      <w:spacing w:before="0" w:after="340"/>
      <w:ind w:start="0" w:end="0" w:hanging="0"/>
    </w:pPr>
    <w:rPr>
      <w:rFonts w:ascii="Liberation Serif" w:hAnsi="Liberation Serif"/>
      <w:b/>
      <w:bCs/>
      <w:color w:val="000000"/>
      <w:sz w:val="48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0"/>
      <w:jc w:val="center"/>
    </w:pPr>
    <w:rPr/>
  </w:style>
  <w:style w:type="paragraph" w:styleId="Figure">
    <w:name w:val="Figure"/>
    <w:basedOn w:val="Caption"/>
    <w:qFormat/>
    <w:pPr>
      <w:spacing w:before="170" w:after="179"/>
      <w:jc w:val="center"/>
    </w:pPr>
    <w:rPr/>
  </w:style>
  <w:style w:type="paragraph" w:styleId="Appendix">
    <w:name w:val="Appendix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170"/>
    </w:pPr>
    <w:rPr/>
  </w:style>
  <w:style w:type="paragraph" w:styleId="Listing">
    <w:name w:val="Listing"/>
    <w:basedOn w:val="Normal"/>
    <w:qFormat/>
    <w:pPr>
      <w:pBdr>
        <w:top w:val="single" w:sz="8" w:space="8" w:color="DDDDDD"/>
        <w:left w:val="single" w:sz="8" w:space="8" w:color="DDDDDD"/>
        <w:bottom w:val="single" w:sz="8" w:space="8" w:color="DDDDDD"/>
        <w:right w:val="single" w:sz="8" w:space="8" w:color="DDDDDD"/>
      </w:pBdr>
      <w:shd w:fill="F7F7F7" w:val="clear"/>
      <w:spacing w:lineRule="auto" w:line="276" w:before="0" w:after="340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right" w:pos="23811" w:leader="dot"/>
      </w:tabs>
      <w:jc w:val="both"/>
    </w:pPr>
    <w:rPr/>
  </w:style>
  <w:style w:type="paragraph" w:styleId="TOCLevel1">
    <w:name w:val="TOC Level 1"/>
    <w:basedOn w:val="TOC"/>
    <w:qFormat/>
    <w:pPr>
      <w:tabs>
        <w:tab w:val="clear" w:pos="23811"/>
        <w:tab w:val="right" w:pos="8787" w:leader="dot"/>
      </w:tabs>
    </w:pPr>
    <w:rPr/>
  </w:style>
  <w:style w:type="paragraph" w:styleId="TOCLevel2">
    <w:name w:val="TOC Level 2"/>
    <w:basedOn w:val="TOC"/>
    <w:qFormat/>
    <w:pPr>
      <w:tabs>
        <w:tab w:val="clear" w:pos="23811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ind w:start="567" w:end="0" w:hanging="0"/>
    </w:pPr>
    <w:rPr/>
  </w:style>
  <w:style w:type="paragraph" w:styleId="TOCLevel4">
    <w:name w:val="TOC Level 4"/>
    <w:basedOn w:val="TOC"/>
    <w:qFormat/>
    <w:pPr>
      <w:ind w:start="850" w:end="0" w:hanging="0"/>
    </w:pPr>
    <w:rPr/>
  </w:style>
  <w:style w:type="paragraph" w:styleId="TOCLevel5">
    <w:name w:val="TOC Level 5"/>
    <w:basedOn w:val="TOC"/>
    <w:qFormat/>
    <w:pPr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</w:pPr>
    <w:rPr/>
  </w:style>
  <w:style w:type="paragraph" w:styleId="PreambleBeforeParagraph">
    <w:name w:val="Preamble Before Paragraph"/>
    <w:basedOn w:val="Normal"/>
    <w:qFormat/>
    <w:pPr>
      <w:pageBreakBefore w:val="false"/>
      <w:spacing w:lineRule="exact" w:line="28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Bullet2">
    <w:name w:val="Bullet "/>
    <w:qFormat/>
  </w:style>
  <w:style w:type="numbering" w:styleId="Bullet3">
    <w:name w:val="Bullet "/>
    <w:qFormat/>
  </w:style>
  <w:style w:type="numbering" w:styleId="Bullet4">
    <w:name w:val="Bullet 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jpeg"/><Relationship Id="rId5" Type="http://schemas.openxmlformats.org/officeDocument/2006/relationships/footer" Target="footer3.xml"/><Relationship Id="rId6" Type="http://schemas.openxmlformats.org/officeDocument/2006/relationships/hyperlink" Target="https://habr.com/ru/post/599437/" TargetMode="External"/><Relationship Id="rId7" Type="http://schemas.openxmlformats.org/officeDocument/2006/relationships/hyperlink" Target="https://habr.com/ru/post/456032/" TargetMode="External"/><Relationship Id="rId8" Type="http://schemas.openxmlformats.org/officeDocument/2006/relationships/hyperlink" Target="https://asciidoctor.org/" TargetMode="External"/><Relationship Id="rId9" Type="http://schemas.openxmlformats.org/officeDocument/2006/relationships/hyperlink" Target="http://docs.translatehouse.org/projects/translate-toolkit/en/latest/" TargetMode="External"/><Relationship Id="rId10" Type="http://schemas.openxmlformats.org/officeDocument/2006/relationships/hyperlink" Target="https://www.gnu.org/software/gettext/" TargetMode="External"/><Relationship Id="rId11" Type="http://schemas.openxmlformats.org/officeDocument/2006/relationships/hyperlink" Target="https://github.com/fiddlededee/asciidoc-i18n" TargetMode="External"/><Relationship Id="rId12" Type="http://schemas.openxmlformats.org/officeDocument/2006/relationships/hyperlink" Target="https://habr.com/ru/post/571326/" TargetMode="External"/><Relationship Id="rId13" Type="http://schemas.openxmlformats.org/officeDocument/2006/relationships/hyperlink" Target="https://github.com/errata-ai/vale" TargetMode="Externa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image" Target="media/image2.png"/><Relationship Id="rId17" Type="http://schemas.openxmlformats.org/officeDocument/2006/relationships/hyperlink" Target="https://wiki.gnome.org/Apps/Gtranslator" TargetMode="External"/><Relationship Id="rId18" Type="http://schemas.openxmlformats.org/officeDocument/2006/relationships/hyperlink" Target="https://poedit.net/" TargetMode="External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footer" Target="footer6.xml"/><Relationship Id="rId22" Type="http://schemas.openxmlformats.org/officeDocument/2006/relationships/footer" Target="footer7.xml"/><Relationship Id="rId23" Type="http://schemas.openxmlformats.org/officeDocument/2006/relationships/footer" Target="footer8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12358</TotalTime>
  <Application>LibreOffice/6.4.6.2$Linux_X86_64 LibreOffice_project/17c4c786810c925eb6e0da4181cd43069b44ed29</Application>
  <Pages>5</Pages>
  <Words>169</Words>
  <Characters>817</Characters>
  <CharactersWithSpaces>951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2022-01-09T18:09:52Z</dcterms:modified>
  <cp:revision>221</cp:revision>
  <dc:subject/>
  <dc:title/>
</cp:coreProperties>
</file>